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2BB5F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SREDNJA  ŠKOLA  OTOČAC</w:t>
      </w:r>
    </w:p>
    <w:p w14:paraId="20534121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ĆIRILA I METODA 2, OTOČAC</w:t>
      </w:r>
    </w:p>
    <w:p w14:paraId="431AF701"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</w:p>
    <w:p w14:paraId="7C82A818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KLASA: 602-11/26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-01/2</w:t>
      </w:r>
    </w:p>
    <w:p w14:paraId="3B778C8B"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URBROJ: 2125-37-04-26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-1</w:t>
      </w:r>
    </w:p>
    <w:p w14:paraId="59442096">
      <w:pPr>
        <w:overflowPunct w:val="false"/>
        <w:autoSpaceDE w:val="false"/>
        <w:autoSpaceDN w:val="false"/>
        <w:adjustRightInd w:val="false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8"/>
          <w:szCs w:val="20"/>
          <w:lang w:eastAsia="hr-HR"/>
        </w:rPr>
      </w:pPr>
    </w:p>
    <w:p w14:paraId="686E7AB5">
      <w:pPr>
        <w:overflowPunct w:val="false"/>
        <w:autoSpaceDE w:val="false"/>
        <w:autoSpaceDN w:val="false"/>
        <w:adjustRightInd w:val="false"/>
        <w:spacing w:after="0" w:line="240" w:lineRule="auto"/>
        <w:textAlignment w:val="baseline"/>
        <w:rPr>
          <w:rStyle w:val="normaltextrun"/>
          <w:rFonts w:ascii="Times New Roman" w:hAnsi="Times New Roman" w:eastAsia="Times New Roman" w:cs="Times New Roman"/>
          <w:sz w:val="28"/>
          <w:szCs w:val="20"/>
          <w:lang w:eastAsia="hr-HR"/>
        </w:rPr>
      </w:pPr>
      <w:r>
        <w:rPr>
          <w:noProof/>
          <w:lang w:eastAsia="hr-HR"/>
        </w:rPr>
        <w:drawing>
          <wp:inline>
            <wp:extent cx="5760720" cy="4437186"/>
            <wp:effectExtent xmlns:wp="http://schemas.openxmlformats.org/drawingml/2006/wordprocessingDrawing"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3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5448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  <w:sz w:val="56"/>
          <w:szCs w:val="56"/>
        </w:rPr>
      </w:pPr>
      <w:r>
        <w:rPr>
          <w:rStyle w:val="normaltextrun"/>
          <w:b/>
          <w:bCs/>
          <w:color w:val="000000"/>
          <w:sz w:val="56"/>
          <w:szCs w:val="56"/>
        </w:rPr>
        <w:t xml:space="preserve">GODIŠNJI PLAN I PROGRAM RADA SREDNJOŠKOLSKOG OBRAZOVANJA ODRASLIH </w:t>
      </w:r>
    </w:p>
    <w:p w14:paraId="7DBC48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56"/>
          <w:szCs w:val="56"/>
        </w:rPr>
        <w:t xml:space="preserve">ZA ŠKOLSKU GODINU </w:t>
      </w:r>
      <w:r>
        <w:rPr>
          <w:rStyle w:val="normaltextrun"/>
          <w:b/>
          <w:bCs/>
          <w:color w:val="000000"/>
          <w:sz w:val="56"/>
          <w:szCs w:val="56"/>
        </w:rPr>
        <w:t xml:space="preserve">2026./2027.</w:t>
      </w:r>
      <w:r>
        <w:rPr>
          <w:rStyle w:val="eop"/>
          <w:color w:val="000000"/>
          <w:sz w:val="56"/>
          <w:szCs w:val="56"/>
        </w:rPr>
        <w:t xml:space="preserve"> </w:t>
      </w:r>
    </w:p>
    <w:p w14:paraId="3B451AAF">
      <w:pPr>
        <w:pStyle w:val="paragraph"/>
        <w:spacing w:before="0" w:beforeAutospacing="0" w:after="0" w:afterAutospacing="0"/>
        <w:ind w:left="6360" w:hanging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 xml:space="preserve"> </w:t>
      </w:r>
    </w:p>
    <w:p w14:paraId="651D8CE7">
      <w:pPr>
        <w:pStyle w:val="paragraph"/>
        <w:spacing w:before="0" w:beforeAutospacing="0" w:after="0" w:afterAutospacing="0"/>
        <w:ind w:left="6360" w:hanging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 xml:space="preserve"> </w:t>
      </w:r>
    </w:p>
    <w:p w14:paraId="39B3783F">
      <w:pPr>
        <w:pStyle w:val="paragraph"/>
        <w:spacing w:before="0" w:beforeAutospacing="0" w:after="0" w:afterAutospacing="0"/>
        <w:ind w:left="6360" w:hanging="6360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 </w:t>
      </w:r>
    </w:p>
    <w:p w14:paraId="3518EC2B">
      <w:pPr>
        <w:pStyle w:val="paragraph"/>
        <w:spacing w:before="0" w:beforeAutospacing="0" w:after="0" w:afterAutospacing="0"/>
        <w:ind w:left="6360" w:hanging="6360"/>
        <w:textAlignment w:val="baseline"/>
        <w:rPr>
          <w:rFonts w:ascii="Segoe UI" w:hAnsi="Segoe UI" w:cs="Segoe UI"/>
          <w:sz w:val="18"/>
          <w:szCs w:val="18"/>
        </w:rPr>
      </w:pPr>
    </w:p>
    <w:p w14:paraId="1828FAF3">
      <w:pPr>
        <w:pStyle w:val="paragraph"/>
        <w:spacing w:before="0" w:beforeAutospacing="0" w:after="0" w:afterAutospacing="0"/>
        <w:ind w:left="6360" w:hanging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 xml:space="preserve"> </w:t>
      </w:r>
    </w:p>
    <w:p w14:paraId="77300122">
      <w:pPr>
        <w:pStyle w:val="paragraph"/>
        <w:spacing w:before="0" w:beforeAutospacing="0" w:after="0" w:afterAutospacing="0"/>
        <w:ind w:left="6360" w:hanging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Otočac, listopad 2026</w:t>
      </w:r>
      <w:r>
        <w:rPr>
          <w:rStyle w:val="normaltextrun"/>
          <w:b/>
          <w:bCs/>
        </w:rPr>
        <w:t xml:space="preserve">.</w:t>
      </w:r>
      <w:r>
        <w:rPr>
          <w:rStyle w:val="tabchar"/>
          <w:rFonts w:ascii="Calibri" w:hAnsi="Calibri" w:cs="Calibri"/>
        </w:rPr>
        <w:tab/>
        <w:t xml:space="preserve"/>
      </w:r>
      <w:r>
        <w:rPr>
          <w:rStyle w:val="normaltextrun"/>
          <w:b/>
          <w:bCs/>
        </w:rPr>
        <w:t xml:space="preserve">RAVNATELJ</w:t>
      </w:r>
      <w:r>
        <w:rPr>
          <w:rStyle w:val="eop"/>
        </w:rPr>
        <w:t xml:space="preserve"> </w:t>
      </w:r>
    </w:p>
    <w:p w14:paraId="07A872C9">
      <w:pPr>
        <w:pStyle w:val="paragraph"/>
        <w:spacing w:before="0" w:beforeAutospacing="0" w:after="0" w:afterAutospacing="0"/>
        <w:ind w:left="6360"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 xml:space="preserve"> </w:t>
      </w:r>
    </w:p>
    <w:p w14:paraId="64483F31">
      <w:pPr>
        <w:pStyle w:val="paragraph"/>
        <w:spacing w:before="0" w:beforeAutospacing="0" w:after="0" w:afterAutospacing="0"/>
        <w:ind w:left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Ivan Vidmar, prof.</w:t>
      </w:r>
      <w:r>
        <w:rPr>
          <w:rStyle w:val="eop"/>
        </w:rPr>
        <w:t xml:space="preserve"> </w:t>
      </w:r>
    </w:p>
    <w:p w14:paraId="4752208A">
      <w:pPr>
        <w:keepNext/>
        <w:keepLines/>
        <w:spacing w:after="480"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val="bs-Latn-BA"/>
        </w:rPr>
      </w:pPr>
      <w:bookmarkStart w:id="2" w:name="_Toc492894172"/>
      <w:r>
        <w:rPr>
          <w:rFonts w:ascii="Times New Roman" w:hAnsi="Times New Roman" w:eastAsia="Times New Roman" w:cs="Times New Roman"/>
          <w:b/>
          <w:bCs/>
          <w:sz w:val="28"/>
          <w:szCs w:val="28"/>
          <w:lang w:val="bs-Latn-BA"/>
        </w:rPr>
        <w:t xml:space="preserve">S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bs-Latn-BA"/>
        </w:rPr>
        <w:t xml:space="preserve">ADRŽAJ</w:t>
      </w:r>
    </w:p>
    <w:p w14:paraId="74D47E57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>
          <w:color w:val="000000"/>
          <w:lang w:val="bs-Latn-BA"/>
        </w:rPr>
        <w:instrText xml:space="preserve"> TOC \o "1-3" \h \z \u </w:instrText>
      </w:r>
      <w:r>
        <w:rPr/>
        <w:fldChar w:fldCharType="separate"/>
      </w:r>
      <w:r>
        <w:rPr/>
        <w:fldChar w:fldCharType="begin"/>
      </w:r>
      <w:r>
        <w:rPr/>
        <w:instrText xml:space="preserve">HYPERLINK \l "_Toc210485126"</w:instrText>
      </w:r>
      <w:r>
        <w:rPr/>
        <w:fldChar w:fldCharType="separate"/>
      </w:r>
      <w:r>
        <w:rPr>
          <w:rStyle w:val="Hiperveza"/>
          <w:noProof/>
        </w:rPr>
        <w:t xml:space="preserve">1.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Osnovni podaci o Školi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_Toc210485126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16FFD1D5">
      <w:pPr>
        <w:pStyle w:val="Sadraj2"/>
        <w:tabs>
          <w:tab w:val="left" w:pos="96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"_Toc210485127"</w:instrText>
      </w:r>
      <w:r>
        <w:rPr/>
        <w:fldChar w:fldCharType="separate"/>
      </w:r>
      <w:r>
        <w:rPr>
          <w:rStyle w:val="Hiperveza"/>
          <w:noProof/>
        </w:rPr>
        <w:t xml:space="preserve">1.1.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Djelatnost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_Toc210485127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6F21A687">
      <w:pPr>
        <w:pStyle w:val="Sadraj2"/>
        <w:tabs>
          <w:tab w:val="left" w:pos="96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"_Toc210485128"</w:instrText>
      </w:r>
      <w:r>
        <w:rPr/>
        <w:fldChar w:fldCharType="separate"/>
      </w:r>
      <w:r>
        <w:rPr>
          <w:rStyle w:val="Hiperveza"/>
          <w:noProof/>
        </w:rPr>
        <w:t xml:space="preserve">1.2.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Upisi u programe obrazovanje odraslih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_Toc210485128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78FE7430">
      <w:pPr>
        <w:pStyle w:val="Sadraj2"/>
        <w:tabs>
          <w:tab w:val="left" w:pos="96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"_Toc210485129"</w:instrText>
      </w:r>
      <w:r>
        <w:rPr/>
        <w:fldChar w:fldCharType="separate"/>
      </w:r>
      <w:r>
        <w:rPr>
          <w:rStyle w:val="Hiperveza"/>
          <w:noProof/>
        </w:rPr>
        <w:t xml:space="preserve">1.3.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Organizacija rada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_Toc210485129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4BC4C0C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"_Toc210485130"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2.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Uvjeti rada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7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6BE56E1">
      <w:pPr>
        <w:pStyle w:val="Sadraj2"/>
        <w:tabs>
          <w:tab w:val="left" w:pos="96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"_Toc210485131"</w:instrText>
      </w:r>
      <w:r>
        <w:rPr/>
        <w:fldChar w:fldCharType="separate"/>
      </w:r>
      <w:r>
        <w:rPr>
          <w:rStyle w:val="Hiperveza"/>
          <w:noProof/>
        </w:rPr>
        <w:t xml:space="preserve">2.1.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Prostor i oprema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7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F17CC81">
      <w:pPr>
        <w:pStyle w:val="Sadraj2"/>
        <w:tabs>
          <w:tab w:val="left" w:pos="96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"_Toc210485132"</w:instrText>
      </w:r>
      <w:r>
        <w:rPr/>
        <w:fldChar w:fldCharType="separate"/>
      </w:r>
      <w:r>
        <w:rPr>
          <w:rStyle w:val="Hiperveza"/>
          <w:noProof/>
        </w:rPr>
        <w:t xml:space="preserve">2.2.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Kadrovski uvjeti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8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2F0D57BE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"_Toc210485133"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3.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ekonomist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11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2DEBD690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"_Toc210485134"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4.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šumarski  tehničar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12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4B93112D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"_Toc210485135"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5.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elektrotehničar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15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6406D465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"_Toc210485136"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6.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automehaničar  (jedinstveni model obrazovanja)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16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750F19DA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"_Toc210485137"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7.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strojobravar (jedinstveni model obrazovanja)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17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F5FC75D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"_Toc210485138"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8.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elektromehaničar (jedinstveni model obrazovanja)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19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78702EB2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"_Toc210485139"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9.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autoelektričar (jedinstveni model obrazovanja)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_Toc210485139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20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02BC62CC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"_Toc210485140"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10.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i program zanimanja prodavač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21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1026D09A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"_Toc210485141"</w:instrText>
      </w:r>
      <w:r>
        <w:rPr/>
        <w:fldChar w:fldCharType="separate"/>
      </w:r>
      <w:r>
        <w:rPr>
          <w:rStyle w:val="Hiperveza"/>
          <w:rFonts w:eastAsiaTheme="minorHAnsi"/>
          <w:bCs/>
          <w:noProof/>
        </w:rPr>
        <w:t xml:space="preserve">11.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bCs/>
          <w:noProof/>
        </w:rPr>
        <w:t xml:space="preserve">Nastavni plan zanimanja prodavač</w:t>
      </w:r>
      <w:r>
        <w:rPr>
          <w:rStyle w:val="Hiperveza"/>
          <w:bCs/>
          <w:i/>
          <w:noProof/>
        </w:rPr>
        <w:t xml:space="preserve"> </w:t>
      </w:r>
      <w:r>
        <w:rPr>
          <w:rStyle w:val="Hiperveza"/>
          <w:bCs/>
          <w:noProof/>
        </w:rPr>
        <w:t xml:space="preserve">prema dualnom modelu obrazovanja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3C1D6908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"_Toc210485142"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12.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Nastavni plan osposobljavanja za stjecanje djelomične kvalifikacije knjigovođa/knjigovotkinja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4F533484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"_Toc210485143"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13.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bCs/>
          <w:noProof/>
        </w:rPr>
        <w:t xml:space="preserve">Program obrazovanja za stjecanje djelomične kvalifikacije </w:t>
      </w:r>
      <w:r>
        <w:rPr>
          <w:rStyle w:val="Hiperveza"/>
          <w:bCs/>
          <w:iCs/>
          <w:noProof/>
        </w:rPr>
        <w:t xml:space="preserve">njegovatelj/njegovateljica u institucionalnoj i izvaninstitucionalnoj skrbi o starijim i nemoćnim osobama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27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46129946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"_Toc210485144"</w:instrText>
      </w:r>
      <w:r>
        <w:rPr/>
        <w:fldChar w:fldCharType="separate"/>
      </w:r>
      <w:r>
        <w:rPr>
          <w:rStyle w:val="Hiperveza"/>
          <w:rFonts w:eastAsiaTheme="minorHAnsi"/>
          <w:bCs/>
          <w:noProof/>
        </w:rPr>
        <w:t xml:space="preserve">14.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bCs/>
          <w:noProof/>
        </w:rPr>
        <w:t xml:space="preserve">Program obrazovanja za stjecanje djelomične kvalifikacije pomoćnik u nastavi/pomoćnica u nastavi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28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28EECCB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"_Toc210485145"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15.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Program učenja stranog jezika – engleskog jezika i njemačkog jezika – opći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29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01F03D5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"_Toc210485146"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16.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Program učenja hrvatskoga jezika za strance – opći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30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0E2E549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"_Toc210485147"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17.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Plan ispita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30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2B82F25E">
      <w:pPr>
        <w:pStyle w:val="Sadraj2"/>
        <w:tabs>
          <w:tab w:val="left" w:pos="120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"_Toc210485148"</w:instrText>
      </w:r>
      <w:r>
        <w:rPr/>
        <w:fldChar w:fldCharType="separate"/>
      </w:r>
      <w:r>
        <w:rPr>
          <w:rStyle w:val="Hiperveza"/>
          <w:noProof/>
        </w:rPr>
        <w:t xml:space="preserve">17.1.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Ispiti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30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998D99D">
      <w:pPr>
        <w:pStyle w:val="Sadraj2"/>
        <w:tabs>
          <w:tab w:val="left" w:pos="120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"_Toc210485149"</w:instrText>
      </w:r>
      <w:r>
        <w:rPr/>
        <w:fldChar w:fldCharType="separate"/>
      </w:r>
      <w:r>
        <w:rPr>
          <w:rStyle w:val="Hiperveza"/>
          <w:noProof/>
        </w:rPr>
        <w:t xml:space="preserve">17.2.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Kalendar izradbe i obrane završnog rada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_Toc210485149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31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7E1313A">
      <w:pPr>
        <w:pStyle w:val="Sadraj2"/>
        <w:tabs>
          <w:tab w:val="left" w:pos="1200"/>
          <w:tab w:val="right" w:leader="dot" w:pos="9062"/>
        </w:tabs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</w:p>
    <w:p w14:paraId="752A6C10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"_Toc210485151"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18.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Plan i program rada ravnatelja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_Toc210485151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32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77809486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"_Toc210485152"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19.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Plan i program rada voditeljice obrazovanja odraslih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_Toc210485152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32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1ACEDC7B">
      <w:pPr>
        <w:pStyle w:val="Sadraj1"/>
        <w:spacing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/>
        <w:fldChar w:fldCharType="begin"/>
      </w:r>
      <w:r>
        <w:rPr/>
        <w:instrText xml:space="preserve">HYPERLINK \l "_Toc210485153"</w:instrText>
      </w:r>
      <w:r>
        <w:rPr/>
        <w:fldChar w:fldCharType="separate"/>
      </w:r>
      <w:r>
        <w:rPr>
          <w:rStyle w:val="Hiperveza"/>
          <w:rFonts w:eastAsiaTheme="minorHAnsi"/>
          <w:noProof/>
        </w:rPr>
        <w:t xml:space="preserve">20.</w:t>
      </w:r>
      <w:r>
        <w:rPr>
          <w:rFonts w:asciiTheme="minorHAnsi" w:hAnsiTheme="minorHAnsi" w:eastAsiaTheme="minorEastAsia" w:cstheme="minorBidi"/>
          <w:noProof/>
          <w:kern w:val="2"/>
          <w14:ligatures w14:val="standardContextual"/>
        </w:rPr>
        <w:tab/>
        <w:t xml:space="preserve"/>
      </w:r>
      <w:r>
        <w:rPr>
          <w:rStyle w:val="Hiperveza"/>
          <w:noProof/>
        </w:rPr>
        <w:t xml:space="preserve">Financiranje</w:t>
      </w:r>
      <w:r>
        <w:rPr>
          <w:noProof/>
          <w:webHidden/>
        </w:rPr>
        <w:tab/>
        <w:t xml:space="preserve"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_Toc210485153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3E71390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bs-Latn-BA" w:eastAsia="hr-HR"/>
        </w:rPr>
      </w:pPr>
      <w:r>
        <w:rPr/>
        <w:fldChar w:fldCharType="end"/>
      </w:r>
    </w:p>
    <w:p w14:paraId="62E659B8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bs-Latn-BA" w:eastAsia="hr-HR"/>
        </w:rPr>
      </w:pPr>
    </w:p>
    <w:p w14:paraId="3A0CE2F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bs-Latn-BA" w:eastAsia="hr-HR"/>
        </w:rPr>
      </w:pPr>
    </w:p>
    <w:p w14:paraId="1B6B6ED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038779B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71F1C7C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3F6CD68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7C5F445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03EFEAA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41E42B5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7295A07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2767AC1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33326A0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4D6EFB1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 w:eastAsia="hr-HR"/>
        </w:rPr>
      </w:pPr>
    </w:p>
    <w:p w14:paraId="35A49454">
      <w:pPr>
        <w:keepNext/>
        <w:keepLines/>
        <w:spacing w:after="0" w:line="276" w:lineRule="auto"/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ab/>
        <w:t xml:space="preserve"/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Na temelju članka 38. Statuta Srednje škole Otočac Školski odbor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 Srednje škole Otočac na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23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sjednici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 održanoj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6</w:t>
      </w:r>
      <w:bookmarkStart w:id="3" w:name="_GoBack"/>
      <w:bookmarkEnd w:id="3"/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.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listopada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2026.</w:t>
      </w:r>
      <w:r>
        <w:rPr>
          <w:rFonts w:ascii="Times New Roman" w:hAnsi="Times New Roman" w:eastAsia="Times New Roman" w:cs="Times New Roman"/>
          <w:bCs/>
          <w:sz w:val="24"/>
          <w:szCs w:val="24"/>
          <w:lang w:val="bs-Latn-BA"/>
        </w:rPr>
        <w:t xml:space="preserve"> godine donio je odluku o prihvaćanju</w:t>
      </w:r>
    </w:p>
    <w:p w14:paraId="05DB199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s-Latn-BA"/>
        </w:rPr>
      </w:pPr>
    </w:p>
    <w:p w14:paraId="417226E6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</w:p>
    <w:p w14:paraId="534B2C5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hr-HR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hr-HR"/>
        </w:rPr>
        <w:t xml:space="preserve">Godišnjeg plana i programa rada srednjoškolskog obrazovanja odraslih </w:t>
      </w:r>
    </w:p>
    <w:p w14:paraId="05F180F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hr-HR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hr-HR"/>
        </w:rPr>
        <w:t xml:space="preserve">za školsku 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hr-HR"/>
        </w:rPr>
        <w:t xml:space="preserve">GODINU 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hr-HR"/>
        </w:rPr>
        <w:t xml:space="preserve">2026./2027.</w:t>
      </w:r>
    </w:p>
    <w:p w14:paraId="4EB99094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</w:p>
    <w:p w14:paraId="679DAD05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</w:p>
    <w:p w14:paraId="6E7A688D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</w:p>
    <w:tbl>
      <w:tblPr>
        <w:tblpPr w:leftFromText="180" w:rightFromText="180" w:vertAnchor="page" w:horzAnchor="margin" w:tblpY="5061"/>
        <w:tblW w:w="90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A0" w:firstRow="1" w:lastRow="0" w:firstColumn="1" w:lastColumn="0" w:noHBand="0" w:noVBand="0"/>
      </w:tblPr>
      <w:tblGrid>
        <w:gridCol w:w="910"/>
        <w:gridCol w:w="1946"/>
        <w:gridCol w:w="6183"/>
      </w:tblGrid>
      <w:tr>
        <w:trPr>
          <w:trHeight w:val="724" w:hRule="atLeast"/>
        </w:trPr>
        <w:tc>
          <w:tcPr>
            <w:tcW w:type="dxa" w:w="2856"/>
            <w:gridSpan w:val="2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shd w:fill="FFF2CC" w:color="auto" w:val="clea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  <w:bookmarkStart w:id="4" w:name="_Toc492894174"/>
            <w:bookmarkStart w:id="5" w:name="_Toc20425782"/>
            <w:bookmarkStart w:id="6" w:name="_Toc20425921"/>
            <w:bookmarkStart w:id="7" w:name="_Toc20425993"/>
            <w:bookmarkStart w:id="8" w:name="_Toc20426082"/>
            <w:bookmarkStart w:id="9" w:name="_Toc20426149"/>
            <w:bookmarkStart w:id="10" w:name="_Toc20853733"/>
            <w:bookmarkStart w:id="11" w:name="_Toc20425779"/>
            <w:bookmarkStart w:id="12" w:name="_Toc20425918"/>
            <w:bookmarkStart w:id="13" w:name="_Toc20425991"/>
            <w:bookmarkStart w:id="14" w:name="_Toc20426080"/>
            <w:bookmarkStart w:id="15" w:name="_Toc20426148"/>
            <w:bookmarkStart w:id="16" w:name="_Toc20853732"/>
            <w:bookmarkStart w:id="17" w:name="_Toc22651078"/>
            <w:bookmarkStart w:id="18" w:name="_Toc22655397"/>
            <w:bookmarkStart w:id="19" w:name="_Toc52265425"/>
            <w:bookmarkStart w:id="20" w:name="_Toc52266091"/>
            <w:bookmarkStart w:id="21" w:name="_Toc52266902"/>
            <w:bookmarkStart w:id="22" w:name="_Toc52267402"/>
            <w:bookmarkStart w:id="23" w:name="_Toc52267519"/>
            <w:bookmarkStart w:id="24" w:name="_Toc52269902"/>
            <w:bookmarkStart w:id="25" w:name="_Toc52271359"/>
            <w:bookmarkStart w:id="26" w:name="_Toc52271633"/>
            <w:bookmarkStart w:id="27" w:name="_Toc179578097"/>
          </w:p>
          <w:p>
            <w:pPr>
              <w:tabs>
                <w:tab w:val="left" w:pos="2007"/>
              </w:tabs>
              <w:spacing w:after="0" w:line="276" w:lineRule="auto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/>
              </w:rPr>
              <w:t xml:space="preserve">Naziv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t xml:space="preserve">ustanove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tab/>
              <w:t xml:space="preserve"/>
            </w:r>
          </w:p>
        </w:tc>
        <w:tc>
          <w:tcPr>
            <w:tcW w:type="dxa" w:w="6183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shd w:fill="FFF2CC" w:color="auto" w:val="clea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smallCaps/>
                <w:lang w:val="en-US"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smallCaps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mallCaps/>
                <w:lang w:val="en-US"/>
              </w:rPr>
              <w:t xml:space="preserve">SREDNJA ŠKOLA OTOČAC</w:t>
            </w:r>
          </w:p>
        </w:tc>
      </w:tr>
      <w:tr>
        <w:trPr>
          <w:trHeight w:val="1651" w:hRule="atLeast"/>
        </w:trPr>
        <w:tc>
          <w:tcPr>
            <w:tcW w:type="dxa" w:w="2856"/>
            <w:gridSpan w:val="2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lang w:val="de-DE"/>
              </w:rPr>
            </w:pPr>
            <w:r>
              <w:rPr>
                <w:rFonts w:ascii="Times New Roman" w:hAnsi="Times New Roman" w:eastAsia="Times New Roman" w:cs="Times New Roman"/>
                <w:b/>
                <w:lang w:val="de-DE"/>
              </w:rPr>
              <w:t xml:space="preserve">Oznaka</w:t>
            </w:r>
            <w:r>
              <w:rPr>
                <w:rFonts w:ascii="Times New Roman" w:hAnsi="Times New Roman" w:eastAsia="Times New Roman" w:cs="Times New Roman"/>
                <w:b/>
                <w:lang w:val="de-D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val="de-DE"/>
              </w:rPr>
              <w:t xml:space="preserve">djelatnosti</w:t>
            </w: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lang w:val="de-DE"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lang w:val="de-DE"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lang w:val="de-DE"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lang w:val="de-DE"/>
              </w:rPr>
            </w:pPr>
            <w:r>
              <w:rPr>
                <w:rFonts w:ascii="Times New Roman" w:hAnsi="Times New Roman" w:eastAsia="Times New Roman" w:cs="Times New Roman"/>
                <w:b/>
                <w:lang w:val="de-DE"/>
              </w:rPr>
              <w:t xml:space="preserve">OIB:</w:t>
            </w:r>
          </w:p>
        </w:tc>
        <w:tc>
          <w:tcPr>
            <w:tcW w:type="dxa" w:w="6183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lang w:eastAsia="hr-HR"/>
              </w:rPr>
              <w:t xml:space="preserve">odgoj i obrazovanje mladeži i odraslih za stjecanje srednje stručne i školske spreme, te znanja i sposobnosti za rad i nastavak školovanja </w:t>
            </w: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smallCaps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smallCaps/>
              </w:rPr>
            </w:pPr>
            <w:r>
              <w:rPr>
                <w:rFonts w:ascii="Times New Roman" w:hAnsi="Times New Roman" w:eastAsia="Times New Roman" w:cs="Times New Roman"/>
                <w:smallCaps/>
              </w:rPr>
              <w:t xml:space="preserve">92358552068</w:t>
            </w:r>
          </w:p>
        </w:tc>
      </w:tr>
      <w:tr>
        <w:trPr>
          <w:trHeight w:val="329" w:hRule="atLeast"/>
        </w:trPr>
        <w:tc>
          <w:tcPr>
            <w:tcW w:type="dxa" w:w="2856"/>
            <w:gridSpan w:val="2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Adresa</w:t>
            </w:r>
          </w:p>
        </w:tc>
        <w:tc>
          <w:tcPr>
            <w:tcW w:type="dxa" w:w="6183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smallCaps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smallCaps/>
              </w:rPr>
            </w:pPr>
            <w:r>
              <w:rPr>
                <w:rFonts w:ascii="Times New Roman" w:hAnsi="Times New Roman" w:eastAsia="Times New Roman" w:cs="Times New Roman"/>
                <w:smallCaps/>
              </w:rPr>
              <w:t xml:space="preserve">Ćirila</w:t>
            </w:r>
            <w:r>
              <w:rPr>
                <w:rFonts w:ascii="Times New Roman" w:hAnsi="Times New Roman" w:eastAsia="Times New Roman" w:cs="Times New Roman"/>
                <w:smallCaps/>
              </w:rPr>
              <w:t xml:space="preserve"> i Metoda 2, 53 220 Otočac</w:t>
            </w:r>
          </w:p>
        </w:tc>
      </w:tr>
      <w:tr>
        <w:trPr>
          <w:trHeight w:val="1652" w:hRule="atLeast"/>
        </w:trPr>
        <w:tc>
          <w:tcPr>
            <w:tcW w:type="dxa" w:w="2856"/>
            <w:gridSpan w:val="2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Ravnatelj:</w:t>
            </w: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Voditelj obrazovanja odraslih:</w:t>
            </w:r>
          </w:p>
        </w:tc>
        <w:tc>
          <w:tcPr>
            <w:tcW w:type="dxa" w:w="6183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hr-HR"/>
              </w:rPr>
            </w:pPr>
            <w:bookmarkStart w:id="28" w:name="_Toc492894173"/>
            <w:bookmarkStart w:id="29" w:name="_Toc20425780"/>
            <w:bookmarkStart w:id="30" w:name="_Toc20425919"/>
            <w:bookmarkStart w:id="31" w:name="_Toc20425992"/>
            <w:bookmarkStart w:id="32" w:name="_Toc20426081"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hr-HR"/>
              </w:rPr>
              <w:t xml:space="preserve">Ivan Vidmar, prof.</w:t>
            </w:r>
            <w:bookmarkEnd w:id="28"/>
            <w:bookmarkEnd w:id="29"/>
            <w:bookmarkEnd w:id="30"/>
            <w:bookmarkEnd w:id="31"/>
            <w:bookmarkEnd w:id="32"/>
          </w:p>
          <w:p>
            <w:pPr>
              <w:keepNext/>
              <w:overflowPunct w:val="false"/>
              <w:autoSpaceDE w:val="false"/>
              <w:autoSpaceDN w:val="false"/>
              <w:adjustRightInd w:val="false"/>
              <w:spacing w:after="0" w:line="360" w:lineRule="auto"/>
              <w:outlineLvl w:val="0"/>
              <w:rPr>
                <w:rFonts w:ascii="Times New Roman" w:hAnsi="Times New Roman" w:eastAsia="Times New Roman" w:cs="Times New Roman"/>
                <w:kern w:val="28"/>
              </w:rPr>
            </w:pPr>
            <w:r>
              <w:rPr>
                <w:rFonts w:ascii="Times New Roman" w:hAnsi="Times New Roman" w:eastAsia="Times New Roman" w:cs="Times New Roman"/>
                <w:kern w:val="28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Gordana Žubrinić, dipl. </w:t>
            </w:r>
            <w:r>
              <w:rPr>
                <w:rFonts w:ascii="Times New Roman" w:hAnsi="Times New Roman" w:eastAsia="Times New Roman" w:cs="Times New Roman"/>
              </w:rPr>
              <w:t xml:space="preserve">oec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mallCaps/>
              </w:rPr>
            </w:pPr>
          </w:p>
        </w:tc>
      </w:tr>
      <w:tr>
        <w:trPr>
          <w:trHeight w:val="1991" w:hRule="atLeast"/>
        </w:trPr>
        <w:tc>
          <w:tcPr>
            <w:tcW w:type="dxa" w:w="910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single" w:color="auto" w:sz="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smallCaps/>
                <w:lang w:val="de-DE"/>
              </w:rPr>
            </w:pPr>
            <w:r>
              <w:rPr>
                <w:rFonts w:ascii="Times New Roman" w:hAnsi="Times New Roman" w:eastAsia="Times New Roman" w:cs="Times New Roman"/>
                <w:b/>
                <w:smallCaps/>
                <w:lang w:val="de-DE"/>
              </w:rPr>
              <w:t xml:space="preserve">053</w:t>
            </w:r>
          </w:p>
        </w:tc>
        <w:tc>
          <w:tcPr>
            <w:tcW w:type="dxa" w:w="1946"/>
            <w:tcBorders>
              <w:top w:val="thinThickSmallGap" w:color="1F4E79" w:sz="24" w:space="0"/>
              <w:left w:val="single" w:color="auto" w:sz="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771</w:t>
            </w: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134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773</w:t>
            </w: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315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771</w:t>
            </w: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133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lang w:eastAsia="hr-HR"/>
              </w:rPr>
              <w:t xml:space="preserve">617-711</w:t>
            </w: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smallCaps/>
                <w:lang w:val="de-DE"/>
              </w:rPr>
            </w:pPr>
          </w:p>
        </w:tc>
        <w:tc>
          <w:tcPr>
            <w:tcW w:type="dxa" w:w="6183"/>
            <w:tcBorders>
              <w:top w:val="thinThickSmallGap" w:color="1F4E79" w:sz="24" w:space="0"/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mallCaps/>
                <w:lang w:val="de-DE"/>
              </w:rPr>
            </w:pP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tajništvo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mallCaps/>
                <w:lang w:val="de-DE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mallCaps/>
                <w:lang w:val="de-DE"/>
              </w:rPr>
            </w:pP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ravnatelj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mallCaps/>
                <w:lang w:val="de-DE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mallCaps/>
                <w:lang w:val="de-DE"/>
              </w:rPr>
            </w:pP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računovodstvo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mallCaps/>
                <w:lang w:val="de-DE"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smallCaps/>
              </w:rPr>
            </w:pP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srednjoškolsko</w:t>
            </w: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obrazovanje</w:t>
            </w:r>
            <w:r>
              <w:rPr>
                <w:rFonts w:ascii="Times New Roman" w:hAnsi="Times New Roman" w:eastAsia="Times New Roman" w:cs="Times New Roman"/>
                <w:smallCaps/>
                <w:lang w:val="de-DE"/>
              </w:rPr>
              <w:t xml:space="preserve"> odraslih</w:t>
            </w:r>
          </w:p>
        </w:tc>
      </w:tr>
      <w:tr>
        <w:trPr>
          <w:trHeight w:val="839" w:hRule="atLeast"/>
        </w:trPr>
        <w:tc>
          <w:tcPr>
            <w:tcW w:type="dxa" w:w="2856"/>
            <w:gridSpan w:val="2"/>
            <w:tcBorders>
              <w:top w:val="single" w:color="auto" w:sz="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Upis u sudski registar</w:t>
            </w:r>
          </w:p>
        </w:tc>
        <w:tc>
          <w:tcPr>
            <w:tcW w:type="dxa" w:w="6183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bookmarkStart w:id="33" w:name="_Toc20425781"/>
            <w:bookmarkStart w:id="34" w:name="_Toc20425920"/>
            <w:r>
              <w:rPr>
                <w:rFonts w:ascii="Times New Roman" w:hAnsi="Times New Roman" w:eastAsia="Times New Roman" w:cs="Times New Roman"/>
              </w:rPr>
              <w:t xml:space="preserve">Izvršen dana 5. 2. 1993. u Sudski registar Trgovačkog suda u Karlovcu pod brojem: US-6/1993-2</w:t>
            </w:r>
            <w:bookmarkEnd w:id="33"/>
            <w:bookmarkEnd w:id="34"/>
          </w:p>
        </w:tc>
      </w:tr>
    </w:tbl>
    <w:p w14:paraId="71419AEA">
      <w:pPr>
        <w:pStyle w:val="Naslov1"/>
        <w:numPr>
          <w:ilvl w:val="0"/>
          <w:numId w:val="4"/>
        </w:numPr>
        <w:spacing w:after="480"/>
        <w:rPr>
          <w:sz w:val="28"/>
          <w:szCs w:val="28"/>
        </w:rPr>
      </w:pPr>
      <w:bookmarkStart w:id="35" w:name="_Toc210485126"/>
      <w:bookmarkEnd w:id="4"/>
      <w:bookmarkEnd w:id="5"/>
      <w:bookmarkEnd w:id="6"/>
      <w:bookmarkEnd w:id="7"/>
      <w:bookmarkEnd w:id="8"/>
      <w:bookmarkEnd w:id="9"/>
      <w:bookmarkEnd w:id="10"/>
      <w:r>
        <w:rPr>
          <w:rStyle w:val="Naslov1Char"/>
          <w:b/>
          <w:sz w:val="28"/>
          <w:szCs w:val="28"/>
        </w:rPr>
        <w:t xml:space="preserve">O</w:t>
      </w:r>
      <w:r>
        <w:rPr>
          <w:rStyle w:val="Naslov1Char"/>
          <w:b/>
          <w:sz w:val="28"/>
          <w:szCs w:val="28"/>
        </w:rPr>
        <w:t xml:space="preserve">snovni podaci o Š</w:t>
      </w:r>
      <w:r>
        <w:rPr>
          <w:rStyle w:val="Naslov1Char"/>
          <w:b/>
          <w:sz w:val="28"/>
          <w:szCs w:val="28"/>
        </w:rPr>
        <w:t xml:space="preserve">koli</w:t>
      </w:r>
      <w:bookmarkEnd w:id="2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35"/>
    </w:p>
    <w:p w14:paraId="5DE37032">
      <w:pPr>
        <w:spacing/>
        <w:rPr>
          <w:lang w:eastAsia="hr-HR"/>
        </w:rPr>
      </w:pPr>
    </w:p>
    <w:p w14:paraId="30F2B219">
      <w:pPr>
        <w:spacing/>
        <w:rPr/>
      </w:pPr>
    </w:p>
    <w:p w14:paraId="0DB76854">
      <w:pPr>
        <w:spacing w:after="0"/>
        <w:rPr/>
      </w:pPr>
    </w:p>
    <w:p w14:paraId="3675DDFB">
      <w:pPr>
        <w:spacing w:after="0"/>
        <w:rPr/>
      </w:pPr>
    </w:p>
    <w:p w14:paraId="2144ED1D">
      <w:pPr>
        <w:overflowPunct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hr-HR"/>
        </w:rPr>
      </w:pPr>
    </w:p>
    <w:p w14:paraId="17F692F5">
      <w:pPr>
        <w:overflowPunct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hr-HR"/>
        </w:rPr>
      </w:pPr>
    </w:p>
    <w:p w14:paraId="17AAB047">
      <w:pPr>
        <w:pStyle w:val="Naslov2"/>
        <w:numPr>
          <w:ilvl w:val="1"/>
          <w:numId w:val="11"/>
        </w:numPr>
        <w:spacing/>
        <w:rPr>
          <w:rFonts w:eastAsia="Calibri"/>
          <w:lang w:eastAsia="hr-HR"/>
        </w:rPr>
      </w:pPr>
      <w:bookmarkStart w:id="36" w:name="_Toc179578098"/>
      <w:bookmarkStart w:id="37" w:name="_Toc210485127"/>
      <w:r>
        <w:rPr/>
        <w:t xml:space="preserve"> </w:t>
      </w:r>
      <w:r>
        <w:rPr/>
        <w:t xml:space="preserve">Djelatnost</w:t>
      </w:r>
      <w:bookmarkEnd w:id="36"/>
      <w:bookmarkEnd w:id="37"/>
    </w:p>
    <w:p w14:paraId="1B45AC77">
      <w:pPr>
        <w:pStyle w:val="StandardWeb"/>
        <w:spacing/>
        <w:jc w:val="both"/>
        <w:rPr/>
      </w:pPr>
      <w:r>
        <w:rPr/>
        <w:t xml:space="preserve">Srednja škola Otočac, u školskoj </w:t>
      </w:r>
      <w:r>
        <w:rPr/>
        <w:t xml:space="preserve">godini </w:t>
      </w:r>
      <w:r>
        <w:rPr/>
        <w:t xml:space="preserve">2026./2027.</w:t>
      </w:r>
      <w:r>
        <w:rPr/>
        <w:t xml:space="preserve">, pored redovnog obrazovanja organizira i realizira programe srednjoškolskog obrazovanja odraslih, i to za:</w:t>
      </w:r>
    </w:p>
    <w:p w14:paraId="0FD6089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a) stjecanje srednje stručne spreme u četverogodišnjim programima za zanimanja:</w:t>
      </w:r>
    </w:p>
    <w:p w14:paraId="2113463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ekonomist</w:t>
      </w:r>
    </w:p>
    <w:p w14:paraId="7B78A36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šumarski tehničar</w:t>
      </w:r>
    </w:p>
    <w:p w14:paraId="60B6704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elektrotehničar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5883448A">
      <w:pPr>
        <w:spacing w:before="100" w:beforeAutospacing="1" w:after="10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Uvjeti za upis: završena osnovna škola, navršenih 15 godina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liječničko uvjerenje kojim se potvrđuje da je polaznik sposoban za obavljanje poslova zanimanja koje upisuje.</w:t>
      </w:r>
    </w:p>
    <w:p w14:paraId="0060E8FB">
      <w:pPr>
        <w:spacing w:before="100" w:beforeAutospacing="1" w:after="10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2E82A72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b) stjecanje srednje stručne spreme u trogodišnjim programima za zanimanja:</w:t>
      </w:r>
    </w:p>
    <w:p w14:paraId="655423F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prodavač</w:t>
      </w:r>
    </w:p>
    <w:p w14:paraId="7204F8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prodavač prema dualnom modelu obrazovanja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*</w:t>
      </w:r>
    </w:p>
    <w:p w14:paraId="67F3B00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automehaničar</w:t>
      </w:r>
    </w:p>
    <w:p w14:paraId="0AB5412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strojobravar</w:t>
      </w:r>
    </w:p>
    <w:p w14:paraId="669166F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elektromehaničar</w:t>
      </w:r>
    </w:p>
    <w:p w14:paraId="5BDDFB8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autoelektričar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169461F5">
      <w:pPr>
        <w:spacing w:before="100" w:beforeAutospacing="1" w:after="10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Uvjeti za upis: završena srednja škola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liječničko uvjerenje kojim se potvrđuje da je polaznik sposoban za obavljanje poslova zanimanja koje upisuje.</w:t>
      </w:r>
    </w:p>
    <w:p w14:paraId="42EE1A10">
      <w:pPr>
        <w:spacing w:before="100" w:beforeAutospacing="1" w:after="10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0AC20DBA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c) prekvalifikaciju u navedenim zanimanjima</w:t>
      </w:r>
    </w:p>
    <w:p w14:paraId="2B607DAE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navedenih programa odobreno je važećim rješenjima Ministarstva znanosti, obrazovanja i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porta: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UP/I-602-07/01-01/115, URBROJ: 532-02-02/6-01-01 od 24. travnja 2001. godine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i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UP/I-602-07/02-01/131, URBROJ: 532-02-02-02/4-03-1 od 14. ožujka 2003. godine.</w:t>
      </w:r>
    </w:p>
    <w:p w14:paraId="5A1E28C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Na izmijenjene programe Ministarstvo je dalo pozitivno stručno mišljenje: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602-03/09-05/00319, URBROJ: 533-09-09-0002 od 18. prosinca 2009. godine.</w:t>
      </w:r>
    </w:p>
    <w:p w14:paraId="5A354C3B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strukovnog kurikuluma za stjecanje kvalifikacije prodavač te strukovnog kurikuluma za stjecanje kvalifikacije ekonomist odobreno je rješenjem Ministarstva znanosti i obrazovanja: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UP/I-602-03/18-05/00156, URBROJ: 533-05-18-0006 od 19. listopada 2018. godine.</w:t>
      </w:r>
    </w:p>
    <w:p w14:paraId="3CE79698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*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strukovnog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 stjecanje kvalifikacije ili nove kvalifikacije prodavač prema dualnom modelu obrazovanja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odobreno je rješenjem Ministarstva znanosti, obrazovanja i mladih: KLASA: UP/I-602-07/25-03/00407, URBROJ: 533-05-25-0002 od 12. kolovoza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2026.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godine.</w:t>
      </w:r>
    </w:p>
    <w:p w14:paraId="79BF47B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d) program učenja stranih jezika:</w:t>
      </w:r>
    </w:p>
    <w:p w14:paraId="3A2E93E4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engleskog općeg jezika (stupnjevi A1 – 140 sati i A2 – 140 sati)</w:t>
      </w:r>
    </w:p>
    <w:p w14:paraId="147F3AA6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učenja engleskog jezika odobreno je rješenjem Ministarstva znanosti, obrazovanja i sporta: KLASA: UP/I-602-07/09-03/00149, URBROJ: 533-09-09-0002 od 21. prosinca 2009. godine</w:t>
      </w:r>
    </w:p>
    <w:p w14:paraId="27EC6107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njemačkog jezika – općeg (stupnjevi A1 – 140 sati i A2 – 140 sati)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6364FA0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učenja njemačkog jezika odobreno je rješenjem Ministarstva znanosti, obrazovanja i športa: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UP/I-602-03/14-05/00120, URBROJ: 533-25-14-0002 od 30. srpnja 2014. godine.</w:t>
      </w:r>
    </w:p>
    <w:p w14:paraId="4773259A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2E664E7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e) program osposobljavanja za stj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ecanje djelomične kvalifikacije:</w:t>
      </w:r>
    </w:p>
    <w:p w14:paraId="01AA8D1D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knjigovođa u trajanju od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350 sati</w:t>
      </w:r>
    </w:p>
    <w:p w14:paraId="2E41826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Uvjeti za upis: cjelovita kvalifikacija na razini 4.2.</w:t>
      </w:r>
    </w:p>
    <w:p w14:paraId="17B8E604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odobreno je rješenjem Ministarstv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 znanosti i  obrazovanja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:</w:t>
      </w:r>
    </w:p>
    <w:p w14:paraId="0BEEFCA6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UP/I-602-07/23-03/00013, URBROJ: 533-05-23-0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004 od 20. veljače 2023. godine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39ECCB23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pomoćnik u nastavi/pomoćnica u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nastavi u trajanju od 250 sati </w:t>
      </w:r>
    </w:p>
    <w:p w14:paraId="3737177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Uvjeti za upis: cjelovita kvalifikacija na razini 4.2.. Iznimno cjelovita kvalifikacija na razini 4.1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26FB59E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odobreno je rješenjem Ministarstv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 znanosti i  obrazovanja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:</w:t>
      </w:r>
    </w:p>
    <w:p w14:paraId="6A932E5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UP/I-602-07/24-03/00593, URBROJ: 533-05-24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-0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003 od 12. prosinca 2024. godine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29422424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njegovatelj/njegovateljica u institucionalnoj i izvaninstitucionalnoj skrbi o starijim i </w:t>
      </w:r>
    </w:p>
    <w:p w14:paraId="6971482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 nemoćnim osobama u traja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nju od 775 sati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.</w:t>
      </w:r>
    </w:p>
    <w:p w14:paraId="36BF9622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Uvjeti za upis: posjedovanje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prehodne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kvalifikacije na razini 1 HKO, liječnička svjedodžbe medicine rada o zdravstvenoj sposobnosti za poslove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njegovaelje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/njegovateljice, najmanje navršenih 18 godina.</w:t>
      </w:r>
    </w:p>
    <w:p w14:paraId="336F8B5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odobreno je rješenjem Ministarstv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 znanosti i  obrazovanja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:</w:t>
      </w:r>
    </w:p>
    <w:p w14:paraId="3615801B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UP/I-602-07/24-03/00593, URBROJ: 533-05-24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-0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003 od 12. prosinca 2024. godine.</w:t>
      </w:r>
    </w:p>
    <w:p w14:paraId="7BAA6F9B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7DDA64D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4438ED8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f) program učenja hrvatskog jezika za str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ance – opći (stupnjevi A1, A2, B1, B2, C1, C2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)</w:t>
      </w:r>
    </w:p>
    <w:p w14:paraId="145BCAA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učenja hrvatskog jezika odobreno je 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ješenjem Ministarstva znanosti i obrazovanja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KLASA: UP/I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-602-07/25-03/00653, URBROJ: 533-05-25-0002 od 3. studenog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2026.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godine.</w:t>
      </w:r>
    </w:p>
    <w:p w14:paraId="5BF7FA31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781587C9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g)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programa obrazovanja za stjecanje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mikrokvalifikaci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je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temeljne digitalne vještine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u tr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ajanju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od 100 sati.</w:t>
      </w:r>
    </w:p>
    <w:p w14:paraId="0096C5E6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Uvjeti za upis: cjelovita kvalifikacija na razini 1 HKO-a (završena osnovna škola).</w:t>
      </w:r>
    </w:p>
    <w:p w14:paraId="79DCE07B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Izvođenje programa odobreno je rješenjem Ministarstva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znanosti, obrazovanja i mladih, KLASA: UP/I-602-07/25-03/00385, URBROJ: 533-05-25-0005 od 2. listopada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2026.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godine.</w:t>
      </w:r>
    </w:p>
    <w:p w14:paraId="765E8F61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h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) 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j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ešenja Ministarstva znanosti, obrazovanja i mladih, KLASA: UP/I-602-07/25-03/00652, URBROJ: 533-05-25-0002 od 3. studenog 2025. godine odobreno je izvođenje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novih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strukovni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h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 stjecanje kvalifikacije:</w:t>
      </w:r>
    </w:p>
    <w:p w14:paraId="7FBF1274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ind w:left="993" w:hanging="284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referent/referentica za poslovnu ekonomiju</w:t>
      </w:r>
    </w:p>
    <w:p w14:paraId="4519EAB5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ind w:left="993" w:hanging="284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tehničar/tehničarka za električne strojeve i elektroenergetiku</w:t>
      </w:r>
    </w:p>
    <w:p w14:paraId="2FCEAAB2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ind w:left="993" w:hanging="284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prodavač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/prodavačica</w:t>
      </w:r>
    </w:p>
    <w:p w14:paraId="5CE92203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ind w:left="993" w:hanging="284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elektromehaničar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/elektromehaničarka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61D1E118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Iste će upisivati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polaznici koji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prehodno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nemaju stečenu cjelovitu kvalifikaciju na razini 4, odnosno koji upisuju prvu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ili drugu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godinu obrazovanja i stječu prvu cjelovitu kvalifikaciju na srednjoškolskoj razini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36A50821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4BB49B05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) U tijeku je ishođenje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mišljenja Agencije za strukovno obrazovanja i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obrlazovanje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odraslih i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rješenja Ministarstva za uvođenje novih strukovnih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i to: </w:t>
      </w:r>
    </w:p>
    <w:p w14:paraId="07D0F56B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strukovnog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 stjecanje kvalifikacije ili nove kvalifikacije šumarski tehničar/šumarska tehničarka u obrazovanju odraslih,</w:t>
      </w:r>
    </w:p>
    <w:p w14:paraId="6E3B2747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strukovnog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 stjecanje kvalifikacije ili nove kvalifikacije frizer/frizerka u obrazovanju odraslih,</w:t>
      </w:r>
    </w:p>
    <w:p w14:paraId="418094B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strukovnog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 stjecanje kvalifikacije ili nove kvalifikacije kućni majstor – domar/kućna majstorica - domarka u obrazovanju odraslih,</w:t>
      </w:r>
    </w:p>
    <w:p w14:paraId="7CD57BF4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Izvođenje programa obrazovanja za stjecanje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mikrokvalifikacije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rukovanje motornim pilama u šumarstvu.</w:t>
      </w:r>
    </w:p>
    <w:p w14:paraId="2DB3049B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028910E6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38B634B9">
      <w:pPr>
        <w:pStyle w:val="Naslov2"/>
        <w:numPr>
          <w:ilvl w:val="1"/>
          <w:numId w:val="11"/>
        </w:numPr>
        <w:spacing w:before="100" w:beforeAutospacing="1"/>
        <w:rPr>
          <w:rFonts w:eastAsia="Calibri"/>
          <w:lang w:eastAsia="hr-HR"/>
        </w:rPr>
      </w:pPr>
      <w:bookmarkStart w:id="38" w:name="_Toc492894175"/>
      <w:bookmarkStart w:id="39" w:name="_Toc20425783"/>
      <w:bookmarkStart w:id="40" w:name="_Toc20425922"/>
      <w:bookmarkStart w:id="41" w:name="_Toc20425994"/>
      <w:bookmarkStart w:id="42" w:name="_Toc20426083"/>
      <w:bookmarkStart w:id="43" w:name="_Toc20426150"/>
      <w:bookmarkStart w:id="44" w:name="_Toc20853734"/>
      <w:bookmarkStart w:id="45" w:name="_Toc22651080"/>
      <w:bookmarkStart w:id="46" w:name="_Toc22655399"/>
      <w:bookmarkStart w:id="47" w:name="_Toc52265427"/>
      <w:bookmarkStart w:id="48" w:name="_Toc52266093"/>
      <w:bookmarkStart w:id="49" w:name="_Toc52266904"/>
      <w:bookmarkStart w:id="50" w:name="_Toc52267404"/>
      <w:bookmarkStart w:id="51" w:name="_Toc52267521"/>
      <w:bookmarkStart w:id="52" w:name="_Toc52269904"/>
      <w:bookmarkStart w:id="53" w:name="_Toc52271361"/>
      <w:bookmarkStart w:id="54" w:name="_Toc52271635"/>
      <w:bookmarkStart w:id="55" w:name="_Toc179578099"/>
      <w:bookmarkStart w:id="56" w:name="_Toc210485128"/>
      <w:r>
        <w:rPr/>
        <w:t xml:space="preserve"> </w:t>
      </w:r>
      <w:r>
        <w:rPr/>
        <w:t xml:space="preserve">Upisi </w:t>
      </w:r>
      <w:r>
        <w:rPr/>
        <w:t xml:space="preserve">u programe </w:t>
      </w:r>
      <w:r>
        <w:rPr/>
        <w:t xml:space="preserve">obrazovanje odraslih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14:paraId="45F12C4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Pravo upisa u programe obrazovanja odraslih imaju kandidati koji zadovoljavaju utvrđene uvjete za upis u određeni program.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Potrebna dokumentacija za upis:</w:t>
      </w:r>
    </w:p>
    <w:p w14:paraId="7AD189AC">
      <w:pPr>
        <w:pStyle w:val="Odlomakpopis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original svjedodžbe o završenoj školi</w:t>
      </w:r>
    </w:p>
    <w:p w14:paraId="539B7D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preslika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domovnice</w:t>
      </w:r>
    </w:p>
    <w:p w14:paraId="0F3128C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preslika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rodnog lista</w:t>
      </w:r>
    </w:p>
    <w:p w14:paraId="0A66F21B">
      <w:pPr>
        <w:numPr>
          <w:ilvl w:val="0"/>
          <w:numId w:val="8"/>
        </w:num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liječnička potvrda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13B15562">
      <w:pPr>
        <w:pStyle w:val="Naslov2"/>
        <w:numPr>
          <w:ilvl w:val="1"/>
          <w:numId w:val="11"/>
        </w:numPr>
        <w:spacing w:before="480"/>
        <w:rPr/>
      </w:pPr>
      <w:bookmarkStart w:id="57" w:name="_Toc492894176"/>
      <w:bookmarkStart w:id="58" w:name="_Toc20425784"/>
      <w:bookmarkStart w:id="59" w:name="_Toc20425923"/>
      <w:bookmarkStart w:id="60" w:name="_Toc20425995"/>
      <w:bookmarkStart w:id="61" w:name="_Toc20426084"/>
      <w:bookmarkStart w:id="62" w:name="_Toc20426151"/>
      <w:bookmarkStart w:id="63" w:name="_Toc20853735"/>
      <w:bookmarkStart w:id="64" w:name="_Toc22651081"/>
      <w:bookmarkStart w:id="65" w:name="_Toc22655400"/>
      <w:bookmarkStart w:id="66" w:name="_Toc52265428"/>
      <w:bookmarkStart w:id="67" w:name="_Toc52266094"/>
      <w:bookmarkStart w:id="68" w:name="_Toc52266905"/>
      <w:bookmarkStart w:id="69" w:name="_Toc52267405"/>
      <w:bookmarkStart w:id="70" w:name="_Toc52267522"/>
      <w:bookmarkStart w:id="71" w:name="_Toc52269905"/>
      <w:bookmarkStart w:id="72" w:name="_Toc52271362"/>
      <w:bookmarkStart w:id="73" w:name="_Toc52271636"/>
      <w:bookmarkStart w:id="74" w:name="_Toc179578100"/>
      <w:bookmarkStart w:id="75" w:name="_Toc210485129"/>
      <w:r>
        <w:rPr/>
        <w:t xml:space="preserve"> </w:t>
      </w:r>
      <w:r>
        <w:rPr/>
        <w:t xml:space="preserve">Organizacija rada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5B803789">
      <w:pPr>
        <w:pStyle w:val="StandardWeb"/>
        <w:spacing/>
        <w:jc w:val="both"/>
        <w:rPr/>
      </w:pPr>
      <w:r>
        <w:rPr/>
        <w:t xml:space="preserve">Programi za stjecanje određenog zanimanja ili prekvalifikacije izvode se konzultativno-instruktivnim oblikom, dok se programi osposobljavanja i učenja stranih jezika te hrvatskog jezika za strance realiziraju kroz redovnu nastavu.</w:t>
      </w:r>
    </w:p>
    <w:p w14:paraId="60DF7AA7">
      <w:pPr>
        <w:pStyle w:val="StandardWeb"/>
        <w:spacing/>
        <w:jc w:val="both"/>
        <w:rPr/>
      </w:pPr>
      <w:r>
        <w:rPr/>
        <w:t xml:space="preserve">Izvođenje programa za stjecanje srednje školske ili srednje stručne spreme traje najmanje onoliko koliko traje izvođenje programa za redovite učenike.</w:t>
      </w:r>
    </w:p>
    <w:p w14:paraId="78714A7B">
      <w:pPr>
        <w:pStyle w:val="StandardWeb"/>
        <w:spacing/>
        <w:jc w:val="both"/>
        <w:rPr/>
      </w:pPr>
      <w:r>
        <w:rPr/>
        <w:t xml:space="preserve">Izvođenje programa prekvalifikacije traje najkraće šest mjeseci. Iznimno, izvođenje programa prekvalifikacije može trajati i kraće od šest mjeseci, i to:</w:t>
      </w:r>
    </w:p>
    <w:p w14:paraId="2D434D84">
      <w:pPr>
        <w:pStyle w:val="StandardWeb"/>
        <w:numPr>
          <w:ilvl w:val="0"/>
          <w:numId w:val="2"/>
        </w:numPr>
        <w:spacing/>
        <w:jc w:val="both"/>
        <w:rPr/>
      </w:pPr>
      <w:r>
        <w:rPr/>
        <w:t xml:space="preserve">ako se program prekvalifikacije izvodi u punom dnevnom ili tjednom radnom vremenu, izvođenje programa prekvalifikacije može trajati najkraće četiri mjeseca</w:t>
      </w:r>
    </w:p>
    <w:p w14:paraId="0A018C1C">
      <w:pPr>
        <w:pStyle w:val="StandardWeb"/>
        <w:numPr>
          <w:ilvl w:val="0"/>
          <w:numId w:val="2"/>
        </w:numPr>
        <w:spacing/>
        <w:jc w:val="both"/>
        <w:rPr/>
      </w:pPr>
      <w:r>
        <w:rPr/>
        <w:t xml:space="preserve">ako se radi o programu prekvalifikacije za osobe koje imaju najmanje jednu godinu radnog iskustva na poslovima u zanimanju za koje se žele prekvalificirati, izvođenje programa prekvalifikacije može trajati najkraće četiri mjeseca</w:t>
      </w:r>
    </w:p>
    <w:p w14:paraId="174A9091">
      <w:pPr>
        <w:pStyle w:val="StandardWeb"/>
        <w:numPr>
          <w:ilvl w:val="0"/>
          <w:numId w:val="2"/>
        </w:numPr>
        <w:spacing/>
        <w:jc w:val="both"/>
        <w:rPr/>
      </w:pPr>
      <w:r>
        <w:rPr/>
        <w:t xml:space="preserve">ako se radi o programu prekvalifikacije za zanimanje u istoj struci (području rada), izvođenje programa prekvalifikacije može trajati najkraće tri mjeseca</w:t>
      </w:r>
      <w:bookmarkStart w:id="76" w:name="_Toc492894178"/>
      <w:bookmarkStart w:id="77" w:name="_Toc20425786"/>
      <w:bookmarkStart w:id="78" w:name="_Toc20425925"/>
      <w:bookmarkStart w:id="79" w:name="_Toc20425997"/>
      <w:bookmarkStart w:id="80" w:name="_Toc20426086"/>
      <w:bookmarkStart w:id="81" w:name="_Toc20426153"/>
      <w:bookmarkStart w:id="82" w:name="_Toc20853737"/>
      <w:bookmarkStart w:id="83" w:name="_Toc22651083"/>
      <w:bookmarkStart w:id="84" w:name="_Toc22655402"/>
      <w:bookmarkStart w:id="85" w:name="_Toc52265430"/>
      <w:bookmarkStart w:id="86" w:name="_Toc52266096"/>
      <w:bookmarkStart w:id="87" w:name="_Toc52266907"/>
      <w:bookmarkStart w:id="88" w:name="_Toc52267407"/>
      <w:bookmarkStart w:id="89" w:name="_Toc52267524"/>
      <w:bookmarkStart w:id="90" w:name="_Toc52269907"/>
      <w:bookmarkStart w:id="91" w:name="_Toc52271364"/>
      <w:bookmarkStart w:id="92" w:name="_Toc52271638"/>
      <w:bookmarkStart w:id="93" w:name="_Toc179578101"/>
      <w:r>
        <w:rPr/>
        <w:t xml:space="preserve">.</w:t>
      </w:r>
    </w:p>
    <w:p w14:paraId="709B24ED">
      <w:pPr>
        <w:pStyle w:val="StandardWeb"/>
        <w:spacing/>
        <w:ind w:left="720"/>
        <w:jc w:val="both"/>
        <w:rPr/>
      </w:pPr>
    </w:p>
    <w:p w14:paraId="728FE897">
      <w:pPr>
        <w:pStyle w:val="Naslov2"/>
        <w:numPr>
          <w:ilvl w:val="1"/>
          <w:numId w:val="11"/>
        </w:numPr>
        <w:spacing w:before="480"/>
        <w:rPr/>
      </w:pPr>
      <w:bookmarkStart w:id="94" w:name="_Toc210519656"/>
      <w:bookmarkStart w:id="95" w:name="_Toc210519926"/>
      <w:bookmarkStart w:id="96" w:name="_Toc210561152"/>
      <w:r>
        <w:rPr/>
        <w:t xml:space="preserve">Kurikularna</w:t>
      </w:r>
      <w:r>
        <w:rPr/>
        <w:t xml:space="preserve"> reforma srednjeg strukovnog obrazovanja – modularna nastava</w:t>
      </w:r>
      <w:bookmarkEnd w:id="94"/>
      <w:bookmarkEnd w:id="95"/>
      <w:bookmarkEnd w:id="96"/>
    </w:p>
    <w:p w14:paraId="15DAE7D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Od školske god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ine 2025./2026. u škole je uvedena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kurikularna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reforma srednjeg strukovnog obrazovanja – modularna nastava.</w:t>
      </w:r>
    </w:p>
    <w:p w14:paraId="09FDB845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Modularna nastava predstavlja inovativan pristup obrazovanju u kojem je kurikulum organiziran u obliku manjih, samostalnih jedinica – modula, umjesto tradicionalnih predmeta. Ovaj model omogućuje veću fleksibilnost, praćenje napretka kroz jasno definirane ishode učenja te pruža učenicima vrijedno praktično iskustvo kroz rad kod pos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lodavaca.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Od školske godine 2026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./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2027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 modularna nastava provodit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će se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 prvim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 drugim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razredima strukovnih škola.</w:t>
      </w:r>
    </w:p>
    <w:p w14:paraId="3E371215">
      <w:pPr>
        <w:spacing/>
        <w:rPr>
          <w:rFonts w:ascii="Times New Roman" w:hAnsi="Times New Roman" w:eastAsia="Calibri" w:cs="Times New Roman"/>
          <w:sz w:val="24"/>
          <w:szCs w:val="24"/>
          <w:lang w:eastAsia="hr-HR"/>
        </w:rPr>
      </w:pPr>
    </w:p>
    <w:p w14:paraId="7A440D50">
      <w:pPr>
        <w:spacing/>
        <w:rPr>
          <w:rFonts w:ascii="Times New Roman" w:hAnsi="Times New Roman" w:eastAsia="Calibri" w:cs="Times New Roman"/>
          <w:sz w:val="24"/>
          <w:szCs w:val="24"/>
          <w:lang w:eastAsia="hr-HR"/>
        </w:rPr>
      </w:pPr>
    </w:p>
    <w:p w14:paraId="6592DE45">
      <w:pPr>
        <w:spacing/>
        <w:rPr>
          <w:rFonts w:ascii="Times New Roman" w:hAnsi="Times New Roman" w:eastAsia="Calibri" w:cs="Times New Roman"/>
          <w:sz w:val="24"/>
          <w:szCs w:val="24"/>
          <w:lang w:eastAsia="hr-HR"/>
        </w:rPr>
      </w:pPr>
      <w:r>
        <w:rPr>
          <w:rFonts w:ascii="Times New Roman" w:hAnsi="Times New Roman" w:eastAsia="Calibri" w:cs="Times New Roman"/>
          <w:sz w:val="24"/>
          <w:szCs w:val="24"/>
          <w:lang w:eastAsia="hr-HR"/>
        </w:rPr>
        <w:t xml:space="preserve">Ključne značajke modularne nastave:</w:t>
      </w:r>
    </w:p>
    <w:p w14:paraId="4E65E78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Organizacija u module. Nastava je umjesto po predmetima organizirana po modulima – zaokruženim cjelinama znanja i vještina.</w:t>
      </w:r>
    </w:p>
    <w:p w14:paraId="3670773E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Fleksibilnost i prilagodba. Učenici lakše prate vlastiti napredak, a nastava se prilagođava njihovim individualnim potrebama te zahtjevima tržišta rada.</w:t>
      </w:r>
    </w:p>
    <w:p w14:paraId="139B64C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Praktično iskustvo. Tijekom školovanja učenici stječu radno iskustvo kroz suradnju s poslodavcima, čime se povećava njihova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zapošljivost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</w:t>
      </w:r>
    </w:p>
    <w:p w14:paraId="4B753B2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Jasno definirani ishodi učenja. Svaki modul ima jasno postavljene ishode učenja, što omogućuje transparentno praćenje i vrednovanje napretka učenika.</w:t>
      </w:r>
    </w:p>
    <w:p w14:paraId="6B6ADE0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Vrednovanje po modulima. Umjesto klasičnog ocjenjivanja po predmetima, vrednovanje se provodi po modulima, čime se osigurava brža povratna informacija i preciznija evidencija stečenih kompetencija.</w:t>
      </w:r>
    </w:p>
    <w:p w14:paraId="7DD44F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Razvijanje praktičnih vještina. Modularni pristup potiče aktivno sudjelovanje učenika i usvajanje primjenjivih znanja i vještina koje odgovaraju suvremenim potrebama tržišta rada.</w:t>
      </w:r>
    </w:p>
    <w:p w14:paraId="0AE3A33E">
      <w:pPr>
        <w:spacing/>
        <w:rPr>
          <w:lang w:eastAsia="hr-HR"/>
        </w:rPr>
      </w:pPr>
    </w:p>
    <w:p w14:paraId="6ED5E6BB">
      <w:pPr>
        <w:pStyle w:val="Naslov1"/>
        <w:numPr>
          <w:ilvl w:val="0"/>
          <w:numId w:val="11"/>
        </w:numPr>
        <w:spacing w:before="480" w:after="480"/>
        <w:rPr>
          <w:sz w:val="28"/>
          <w:szCs w:val="28"/>
        </w:rPr>
      </w:pPr>
      <w:bookmarkStart w:id="97" w:name="_Toc210485130"/>
      <w:r>
        <w:rPr>
          <w:sz w:val="28"/>
          <w:szCs w:val="28"/>
        </w:rPr>
        <w:t xml:space="preserve">Uvjeti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r>
        <w:rPr>
          <w:sz w:val="28"/>
          <w:szCs w:val="28"/>
        </w:rPr>
        <w:t xml:space="preserve"> rada</w:t>
      </w:r>
      <w:bookmarkEnd w:id="93"/>
      <w:bookmarkEnd w:id="97"/>
    </w:p>
    <w:p w14:paraId="54EE1E20">
      <w:pPr>
        <w:pStyle w:val="Naslov2"/>
        <w:numPr>
          <w:ilvl w:val="1"/>
          <w:numId w:val="11"/>
        </w:numPr>
        <w:spacing w:before="100" w:beforeAutospacing="1"/>
        <w:rPr>
          <w:lang w:eastAsia="hr-HR"/>
        </w:rPr>
      </w:pPr>
      <w:bookmarkStart w:id="98" w:name="_Toc492894179"/>
      <w:bookmarkStart w:id="99" w:name="_Toc20425787"/>
      <w:bookmarkStart w:id="100" w:name="_Toc20425926"/>
      <w:bookmarkStart w:id="101" w:name="_Toc20425998"/>
      <w:bookmarkStart w:id="102" w:name="_Toc20426087"/>
      <w:bookmarkStart w:id="103" w:name="_Toc20426154"/>
      <w:bookmarkStart w:id="104" w:name="_Toc20853738"/>
      <w:bookmarkStart w:id="105" w:name="_Toc22651084"/>
      <w:bookmarkStart w:id="106" w:name="_Toc22655403"/>
      <w:bookmarkStart w:id="107" w:name="_Toc52265431"/>
      <w:bookmarkStart w:id="108" w:name="_Toc52266097"/>
      <w:bookmarkStart w:id="109" w:name="_Toc52266908"/>
      <w:bookmarkStart w:id="110" w:name="_Toc52267408"/>
      <w:bookmarkStart w:id="111" w:name="_Toc52267525"/>
      <w:bookmarkStart w:id="112" w:name="_Toc52269908"/>
      <w:bookmarkStart w:id="113" w:name="_Toc52271365"/>
      <w:bookmarkStart w:id="114" w:name="_Toc52271639"/>
      <w:bookmarkStart w:id="115" w:name="_Toc179578102"/>
      <w:bookmarkStart w:id="116" w:name="_Toc210485131"/>
      <w:r>
        <w:rPr/>
        <w:t xml:space="preserve">Prostor i oprema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p w14:paraId="507CD596">
      <w:pPr>
        <w:pStyle w:val="StandardWeb"/>
        <w:spacing/>
        <w:jc w:val="both"/>
        <w:rPr/>
      </w:pPr>
      <w:r>
        <w:rPr/>
        <w:t xml:space="preserve">Za potrebe srednjoškolskog obrazovanja odraslih koriste se </w:t>
      </w:r>
      <w:r>
        <w:rPr/>
        <w:t xml:space="preserve">poluspecijalizirane</w:t>
      </w:r>
      <w:r>
        <w:rPr/>
        <w:t xml:space="preserve"> i specijalizirane učionice, praktikumi i radionice:</w:t>
      </w:r>
    </w:p>
    <w:p w14:paraId="2815DE53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praktikumi elektrotehnike i kemije</w:t>
      </w:r>
    </w:p>
    <w:p w14:paraId="03769884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specijalizirana učionica informatike</w:t>
      </w:r>
    </w:p>
    <w:p w14:paraId="3451C256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specijalizirana učionica za šumarstvo</w:t>
      </w:r>
    </w:p>
    <w:p w14:paraId="6B8EB5C2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elektro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radionica</w:t>
      </w:r>
    </w:p>
    <w:p w14:paraId="0EC4E4BE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radionice strojarske struke</w:t>
      </w:r>
    </w:p>
    <w:p w14:paraId="50C5A51F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sportska dvorana.</w:t>
      </w:r>
    </w:p>
    <w:p w14:paraId="57BD6DD3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 njima će se odvijati teor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ijska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i praktična nastava za većinu programa. Praktična nastava za zanimanje prodavač i automehaničar realizira se u prodavaonicama i automehaničarskim radionicama u blizini mjesta stanovanja polaznika, u dogovoru s voditeljem srednjoškolskog obrazovanja odraslih i razrednikom.</w:t>
      </w:r>
      <w:bookmarkStart w:id="117" w:name="_Toc492894180"/>
      <w:bookmarkStart w:id="118" w:name="_Toc20425788"/>
      <w:bookmarkStart w:id="119" w:name="_Toc20425927"/>
      <w:bookmarkStart w:id="120" w:name="_Toc20425999"/>
      <w:bookmarkStart w:id="121" w:name="_Toc20426088"/>
      <w:bookmarkStart w:id="122" w:name="_Toc20426155"/>
      <w:bookmarkStart w:id="123" w:name="_Toc20853739"/>
      <w:bookmarkStart w:id="124" w:name="_Toc22651085"/>
      <w:bookmarkStart w:id="125" w:name="_Toc22655404"/>
      <w:bookmarkStart w:id="126" w:name="_Toc52265432"/>
      <w:bookmarkStart w:id="127" w:name="_Toc52266098"/>
      <w:bookmarkStart w:id="128" w:name="_Toc52266909"/>
      <w:bookmarkStart w:id="129" w:name="_Toc52267409"/>
      <w:bookmarkStart w:id="130" w:name="_Toc52267526"/>
      <w:bookmarkStart w:id="131" w:name="_Toc52269909"/>
      <w:bookmarkStart w:id="132" w:name="_Toc52271366"/>
    </w:p>
    <w:p w14:paraId="0BF03081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6B2113E1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380C24E7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7B4D3377">
      <w:pPr>
        <w:pStyle w:val="Naslov2"/>
        <w:numPr>
          <w:ilvl w:val="1"/>
          <w:numId w:val="11"/>
        </w:numPr>
        <w:spacing w:before="100" w:beforeAutospacing="1"/>
        <w:rPr>
          <w:lang w:eastAsia="hr-HR"/>
        </w:rPr>
      </w:pPr>
      <w:bookmarkStart w:id="133" w:name="_Toc52271640"/>
      <w:bookmarkStart w:id="134" w:name="_Toc179578103"/>
      <w:bookmarkStart w:id="135" w:name="_Toc210485132"/>
      <w:r>
        <w:rPr/>
        <w:t xml:space="preserve">Kadrovski uvjeti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</w:p>
    <w:p w14:paraId="00329828">
      <w:pPr>
        <w:pStyle w:val="StandardWeb"/>
        <w:spacing/>
        <w:jc w:val="both"/>
        <w:rPr/>
      </w:pPr>
      <w:r>
        <w:rPr/>
        <w:t xml:space="preserve">Nastavu u srednjoškolskom obrazovanju odraslih realiziraju nastavnici Škole koji ispunjavaju uvjete predviđene Pravilnikom o stručnoj spremi i pedagoško-psihološkom obrazovanju nastavnika</w:t>
      </w:r>
      <w:r>
        <w:rPr/>
        <w:t xml:space="preserve"> </w:t>
      </w:r>
      <w:r>
        <w:rPr/>
        <w:t xml:space="preserve">na temelju</w:t>
      </w:r>
      <w:r>
        <w:rPr/>
        <w:t xml:space="preserve"> ugovora o djelu.</w:t>
      </w:r>
    </w:p>
    <w:tbl>
      <w:tblPr>
        <w:tblStyle w:val="Reetkatablice"/>
        <w:tblpPr w:leftFromText="180" w:rightFromText="180" w:vertAnchor="text" w:horzAnchor="margin" w:tblpXSpec="center" w:tblpY="193"/>
        <w:tblW w:w="9069" w:type="dxa"/>
        <w:tblLook w:val="04A0" w:firstRow="1" w:lastRow="0" w:firstColumn="1" w:lastColumn="0" w:noHBand="0" w:noVBand="1"/>
      </w:tblPr>
      <w:tblGrid>
        <w:gridCol w:w="4208"/>
        <w:gridCol w:w="4861"/>
      </w:tblGrid>
      <w:tr>
        <w:trPr/>
        <w:tc>
          <w:tcPr>
            <w:tcW w:type="dxa" w:w="4208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shd w:fill="FFF2CC" w:color="auto" w:val="clear"/>
            <w:vAlign w:val="center"/>
          </w:tcPr>
          <w:p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A) </w:t>
            </w:r>
            <w:r>
              <w:rPr>
                <w:b/>
                <w:sz w:val="22"/>
                <w:szCs w:val="22"/>
              </w:rPr>
              <w:t xml:space="preserve">NASTAVNI KADAR</w:t>
            </w:r>
          </w:p>
        </w:tc>
        <w:tc>
          <w:tcPr>
            <w:tcW w:type="dxa" w:w="4861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shd w:fill="FFF2CC" w:color="auto" w:val="clear"/>
            <w:vAlign w:val="center"/>
          </w:tcPr>
          <w:p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STRUČNA SPREMA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tabs>
                <w:tab w:val="left" w:pos="3282"/>
              </w:tabs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1. Iva Abramović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tabs>
                <w:tab w:val="left" w:pos="3282"/>
              </w:tabs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dipl. ing. šumarstva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2. Ankica Banić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VSS/dipl. ing. kemije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3. Marin Benčić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struč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spec</w:t>
            </w:r>
            <w:r>
              <w:rPr>
                <w:sz w:val="22"/>
                <w:szCs w:val="22"/>
              </w:rPr>
              <w:t xml:space="preserve">. ing. elektrotehnike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/>
            </w:pPr>
            <w:r>
              <w:rPr/>
              <w:t xml:space="preserve">  4. Marija Bujan 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/>
            </w:pPr>
            <w:r>
              <w:rPr/>
              <w:t xml:space="preserve">VSS/</w:t>
            </w:r>
            <w:r>
              <w:rPr/>
              <w:t xml:space="preserve">sveuč</w:t>
            </w:r>
            <w:r>
              <w:rPr/>
              <w:t xml:space="preserve">. magistra matematike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 Anita Čović Josipović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</w:t>
            </w:r>
            <w:r>
              <w:rPr>
                <w:sz w:val="22"/>
                <w:szCs w:val="22"/>
              </w:rPr>
              <w:t xml:space="preserve">prof. njemačkog jezika i književnosti </w:t>
            </w:r>
            <w:r>
              <w:rPr>
                <w:sz w:val="22"/>
                <w:szCs w:val="22"/>
              </w:rPr>
              <w:t xml:space="preserve">te </w:t>
            </w:r>
            <w:r>
              <w:rPr>
                <w:sz w:val="22"/>
                <w:szCs w:val="22"/>
              </w:rPr>
              <w:t xml:space="preserve">filozofije</w:t>
            </w:r>
          </w:p>
        </w:tc>
      </w:tr>
      <w:tr>
        <w:trPr>
          <w:trHeight w:val="562" w:hRule="atLeast"/>
        </w:trPr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 Mirjana Dasović                                                          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VSS/prof. njemačkog jezika i književnosti </w:t>
            </w:r>
            <w:r>
              <w:rPr>
                <w:sz w:val="22"/>
                <w:szCs w:val="22"/>
              </w:rPr>
              <w:t xml:space="preserve">te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engleskog jezika i književnosti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7. Ljiljana Jergović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VSS/prof. biologije i kemije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8.  Mihaela Kazda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VŠS/ </w:t>
            </w:r>
            <w:r>
              <w:rPr>
                <w:sz w:val="22"/>
                <w:szCs w:val="22"/>
              </w:rPr>
              <w:t xml:space="preserve">sveuč</w:t>
            </w:r>
            <w:r>
              <w:rPr>
                <w:sz w:val="22"/>
                <w:szCs w:val="22"/>
              </w:rPr>
              <w:t xml:space="preserve">. prvostupnica fizike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9</w:t>
            </w:r>
            <w:r>
              <w:rPr>
                <w:sz w:val="22"/>
                <w:szCs w:val="22"/>
              </w:rPr>
              <w:t xml:space="preserve">. Ljubo Majica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VSS/prof. geografije i filozofije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  <w:t xml:space="preserve">. Gorana Mandarić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</w:t>
            </w:r>
            <w:r>
              <w:rPr>
                <w:sz w:val="22"/>
                <w:szCs w:val="22"/>
              </w:rPr>
              <w:t xml:space="preserve">mag</w:t>
            </w:r>
            <w:r>
              <w:rPr>
                <w:sz w:val="22"/>
                <w:szCs w:val="22"/>
              </w:rPr>
              <w:t xml:space="preserve">. edukacije hrvatskog jezika i književnosti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</w:t>
            </w:r>
            <w:r>
              <w:rPr>
                <w:sz w:val="22"/>
                <w:szCs w:val="22"/>
              </w:rPr>
              <w:t xml:space="preserve">. Milorad Mandarić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</w:t>
            </w:r>
            <w:r>
              <w:rPr>
                <w:sz w:val="22"/>
                <w:szCs w:val="22"/>
              </w:rPr>
              <w:t xml:space="preserve">prof. fizičke kulture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  <w:t xml:space="preserve">. Danijel Marot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VSS/prof. povijesti i filozofije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</w:t>
            </w:r>
            <w:r>
              <w:rPr>
                <w:sz w:val="22"/>
                <w:szCs w:val="22"/>
              </w:rPr>
              <w:t xml:space="preserve">. Ivanka Marković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VSS/dipl. ekonomist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</w:t>
            </w:r>
            <w:r>
              <w:rPr>
                <w:sz w:val="22"/>
                <w:szCs w:val="22"/>
              </w:rPr>
              <w:t xml:space="preserve">. Dragan Mlinarić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VŠS/elektromehaničar specijalist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</w:t>
            </w:r>
            <w:r>
              <w:rPr>
                <w:sz w:val="22"/>
                <w:szCs w:val="22"/>
              </w:rPr>
              <w:t xml:space="preserve">. Igor Orešković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 prof. informatike i engleskog jezika </w:t>
            </w:r>
            <w:r>
              <w:rPr>
                <w:sz w:val="22"/>
                <w:szCs w:val="22"/>
              </w:rPr>
              <w:t xml:space="preserve">te </w:t>
            </w:r>
            <w:r>
              <w:rPr>
                <w:sz w:val="22"/>
                <w:szCs w:val="22"/>
              </w:rPr>
              <w:t xml:space="preserve">književnosti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</w:t>
            </w:r>
            <w:r>
              <w:rPr>
                <w:sz w:val="22"/>
                <w:szCs w:val="22"/>
              </w:rPr>
              <w:t xml:space="preserve">. Snježana Orešković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VSS/prof.</w:t>
            </w:r>
            <w:r>
              <w:rPr>
                <w:sz w:val="22"/>
                <w:szCs w:val="22"/>
              </w:rPr>
              <w:t xml:space="preserve"> hrvatskog ili srpskog jezika i </w:t>
            </w:r>
            <w:r>
              <w:rPr>
                <w:sz w:val="22"/>
                <w:szCs w:val="22"/>
              </w:rPr>
              <w:t xml:space="preserve">književnosti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/>
            </w:pPr>
            <w:r>
              <w:rPr>
                <w:sz w:val="22"/>
                <w:szCs w:val="22"/>
              </w:rPr>
              <w:t xml:space="preserve">17</w:t>
            </w:r>
            <w:r>
              <w:rPr>
                <w:sz w:val="22"/>
                <w:szCs w:val="22"/>
              </w:rPr>
              <w:t xml:space="preserve">. Maja </w:t>
            </w:r>
            <w:r>
              <w:rPr>
                <w:sz w:val="22"/>
                <w:szCs w:val="22"/>
              </w:rPr>
              <w:t xml:space="preserve">Pezelj</w:t>
            </w:r>
            <w:r>
              <w:rPr>
                <w:sz w:val="22"/>
                <w:szCs w:val="22"/>
              </w:rPr>
              <w:t xml:space="preserve"> Mandarić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/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dipl. ekonomist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</w:t>
            </w:r>
            <w:r>
              <w:rPr>
                <w:sz w:val="22"/>
                <w:szCs w:val="22"/>
              </w:rPr>
              <w:t xml:space="preserve">. Danka Premuž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VSS/prof. matematike i informatike 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</w:t>
            </w:r>
            <w:r>
              <w:rPr>
                <w:sz w:val="22"/>
                <w:szCs w:val="22"/>
              </w:rPr>
              <w:t xml:space="preserve">. Damir Rogić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VŠS/</w:t>
            </w:r>
            <w:r>
              <w:rPr>
                <w:sz w:val="22"/>
                <w:szCs w:val="22"/>
              </w:rPr>
              <w:t xml:space="preserve">i</w:t>
            </w:r>
            <w:r>
              <w:rPr>
                <w:sz w:val="22"/>
                <w:szCs w:val="22"/>
              </w:rPr>
              <w:t xml:space="preserve">ng. strojarstva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</w:t>
            </w:r>
            <w:r>
              <w:rPr>
                <w:sz w:val="22"/>
                <w:szCs w:val="22"/>
              </w:rPr>
              <w:t xml:space="preserve">. Sandra Sertić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VSS/magistra edukacije engleskog jezika 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književnosti                                                                           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</w:t>
            </w:r>
            <w:r>
              <w:rPr>
                <w:sz w:val="22"/>
                <w:szCs w:val="22"/>
              </w:rPr>
              <w:t xml:space="preserve">. Edi Šop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dipl. ing. šumarstva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</w:t>
            </w:r>
            <w:r>
              <w:rPr>
                <w:sz w:val="22"/>
                <w:szCs w:val="22"/>
              </w:rPr>
              <w:t xml:space="preserve">. Silvija </w:t>
            </w:r>
            <w:r>
              <w:rPr>
                <w:sz w:val="22"/>
                <w:szCs w:val="22"/>
              </w:rPr>
              <w:t xml:space="preserve">Vašarević</w:t>
            </w:r>
          </w:p>
        </w:tc>
        <w:tc>
          <w:tcPr>
            <w:tcW w:type="dxa" w:w="4861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dipl. kateheta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bottom w:val="thinThick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</w:t>
            </w:r>
            <w:r>
              <w:rPr>
                <w:sz w:val="22"/>
                <w:szCs w:val="22"/>
              </w:rPr>
              <w:t xml:space="preserve">. Gordana Žubrinić </w:t>
            </w:r>
            <w:r>
              <w:rPr>
                <w:sz w:val="22"/>
                <w:szCs w:val="22"/>
              </w:rPr>
              <w:t xml:space="preserve">                     </w:t>
            </w:r>
            <w:r>
              <w:rPr>
                <w:sz w:val="22"/>
                <w:szCs w:val="22"/>
              </w:rPr>
              <w:t xml:space="preserve">(voditeljica obrazovanja odraslih)</w:t>
            </w:r>
          </w:p>
        </w:tc>
        <w:tc>
          <w:tcPr>
            <w:tcW w:type="dxa" w:w="4861"/>
            <w:tcBorders>
              <w:left w:val="thinThickSmallGap" w:color="1F4E79" w:sz="24" w:space="0"/>
              <w:bottom w:val="thinThick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dipl. ekonomist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>
              <w:rPr>
                <w:b/>
                <w:sz w:val="22"/>
                <w:szCs w:val="22"/>
              </w:rPr>
              <w:t xml:space="preserve">VANJSKI SURADNICI</w:t>
            </w:r>
          </w:p>
        </w:tc>
        <w:tc>
          <w:tcPr>
            <w:tcW w:type="dxa" w:w="4861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/>
            </w:pPr>
            <w:r>
              <w:rPr>
                <w:sz w:val="22"/>
                <w:szCs w:val="22"/>
              </w:rPr>
              <w:t xml:space="preserve">24</w:t>
            </w:r>
            <w:r>
              <w:rPr>
                <w:sz w:val="22"/>
                <w:szCs w:val="22"/>
              </w:rPr>
              <w:t xml:space="preserve">. Mišo Gladović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/>
            </w:pPr>
            <w:r>
              <w:rPr>
                <w:sz w:val="22"/>
                <w:szCs w:val="22"/>
              </w:rPr>
              <w:t xml:space="preserve">VSS/</w:t>
            </w:r>
            <w:r>
              <w:rPr>
                <w:sz w:val="22"/>
                <w:szCs w:val="22"/>
              </w:rPr>
              <w:t xml:space="preserve">mag</w:t>
            </w:r>
            <w:r>
              <w:rPr>
                <w:sz w:val="22"/>
                <w:szCs w:val="22"/>
              </w:rPr>
              <w:t xml:space="preserve">. edukacije politehnike i informatike</w:t>
            </w:r>
          </w:p>
        </w:tc>
      </w:tr>
      <w:tr>
        <w:trPr/>
        <w:tc>
          <w:tcPr>
            <w:tcW w:type="dxa" w:w="4208"/>
            <w:tcBorders>
              <w:top w:val="single" w:color="auto" w:sz="4" w:space="0"/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</w:t>
            </w:r>
            <w:r>
              <w:rPr>
                <w:sz w:val="22"/>
                <w:szCs w:val="22"/>
              </w:rPr>
              <w:t xml:space="preserve">. Majda </w:t>
            </w:r>
            <w:r>
              <w:rPr>
                <w:sz w:val="22"/>
                <w:szCs w:val="22"/>
              </w:rPr>
              <w:t xml:space="preserve">Mujkanović</w:t>
            </w:r>
          </w:p>
        </w:tc>
        <w:tc>
          <w:tcPr>
            <w:tcW w:type="dxa" w:w="4861"/>
            <w:tcBorders>
              <w:top w:val="single" w:color="auto" w:sz="4" w:space="0"/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VSS/m</w:t>
            </w:r>
            <w:r>
              <w:rPr>
                <w:sz w:val="22"/>
                <w:szCs w:val="22"/>
              </w:rPr>
              <w:t xml:space="preserve">agistra sestrinstva</w:t>
            </w:r>
          </w:p>
        </w:tc>
      </w:tr>
      <w:tr>
        <w:trPr/>
        <w:tc>
          <w:tcPr>
            <w:tcW w:type="dxa" w:w="4208"/>
            <w:tcBorders>
              <w:top w:val="single" w:color="auto" w:sz="4" w:space="0"/>
              <w:left w:val="thinThickSmallGap" w:color="1F4E79" w:sz="24" w:space="0"/>
              <w:bottom w:val="thinThick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</w:t>
            </w:r>
            <w:r>
              <w:rPr>
                <w:sz w:val="22"/>
                <w:szCs w:val="22"/>
              </w:rPr>
              <w:t xml:space="preserve">. Ivana Sabljić</w:t>
            </w:r>
          </w:p>
        </w:tc>
        <w:tc>
          <w:tcPr>
            <w:tcW w:type="dxa" w:w="4861"/>
            <w:tcBorders>
              <w:top w:val="single" w:color="auto" w:sz="4" w:space="0"/>
              <w:left w:val="thinThickSmallGap" w:color="1F4E79" w:sz="24" w:space="0"/>
              <w:bottom w:val="thinThick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VSS/ </w:t>
            </w:r>
            <w:r>
              <w:rPr>
                <w:sz w:val="22"/>
                <w:szCs w:val="22"/>
              </w:rPr>
              <w:t xml:space="preserve">dip</w:t>
            </w:r>
            <w:r>
              <w:rPr>
                <w:sz w:val="22"/>
                <w:szCs w:val="22"/>
              </w:rPr>
              <w:t xml:space="preserve">. med. </w:t>
            </w:r>
            <w:r>
              <w:rPr>
                <w:sz w:val="22"/>
                <w:szCs w:val="22"/>
              </w:rPr>
              <w:t xml:space="preserve">techn</w:t>
            </w:r>
            <w:r>
              <w:rPr>
                <w:sz w:val="22"/>
                <w:szCs w:val="22"/>
              </w:rPr>
              <w:t xml:space="preserve">.</w:t>
            </w:r>
          </w:p>
        </w:tc>
      </w:tr>
      <w:tr>
        <w:trPr/>
        <w:tc>
          <w:tcPr>
            <w:tcW w:type="dxa" w:w="4208"/>
            <w:tcBorders>
              <w:top w:val="thinThickSmallGap" w:color="2F5496" w:sz="24" w:space="0"/>
              <w:left w:val="thinThickSmallGap" w:color="1F4E79" w:sz="24" w:space="0"/>
              <w:bottom w:val="thinThickSmallGap" w:color="2F5496" w:sz="24" w:space="0"/>
              <w:right w:val="thinThickSmallGap" w:color="1F4E79" w:sz="24" w:space="0"/>
            </w:tcBorders>
            <w:shd w:fill="FFF2CC" w:color="auto" w:val="clear"/>
            <w:vAlign w:val="center"/>
          </w:tcPr>
          <w:p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bookmarkStart w:id="136" w:name="_Toc179578104"/>
            <w:r>
              <w:rPr>
                <w:b/>
                <w:sz w:val="22"/>
                <w:szCs w:val="22"/>
              </w:rPr>
              <w:t xml:space="preserve">B) ADMINISTRATIVNI I RAČUNOVODSTV</w:t>
            </w:r>
            <w:r>
              <w:rPr>
                <w:b/>
                <w:sz w:val="22"/>
                <w:szCs w:val="22"/>
              </w:rPr>
              <w:t xml:space="preserve">E</w:t>
            </w:r>
            <w:r>
              <w:rPr>
                <w:b/>
                <w:sz w:val="22"/>
                <w:szCs w:val="22"/>
              </w:rPr>
              <w:t xml:space="preserve">NI POSLOVI</w:t>
            </w:r>
          </w:p>
        </w:tc>
        <w:tc>
          <w:tcPr>
            <w:tcW w:type="dxa" w:w="4861"/>
            <w:tcBorders>
              <w:top w:val="thinThickSmallGap" w:color="2F5496" w:sz="24" w:space="0"/>
              <w:left w:val="thinThickSmallGap" w:color="1F4E79" w:sz="24" w:space="0"/>
              <w:bottom w:val="thinThickSmallGap" w:color="2F5496" w:sz="24" w:space="0"/>
              <w:right w:val="thinThickSmallGap" w:color="1F4E79" w:sz="24" w:space="0"/>
            </w:tcBorders>
            <w:shd w:fill="E7E6E6" w:color="auto" w:val="clear"/>
            <w:vAlign w:val="center"/>
          </w:tcPr>
          <w:p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</w:tr>
      <w:tr>
        <w:trPr/>
        <w:tc>
          <w:tcPr>
            <w:tcW w:type="dxa" w:w="4208"/>
            <w:tcBorders>
              <w:top w:val="thinThickSmallGap" w:color="2F5496" w:sz="24" w:space="0"/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tabs>
                <w:tab w:val="left" w:pos="3282"/>
              </w:tabs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</w:t>
            </w:r>
            <w:r>
              <w:rPr>
                <w:sz w:val="22"/>
                <w:szCs w:val="22"/>
              </w:rPr>
              <w:t xml:space="preserve">. Ivan Vidmar</w:t>
            </w:r>
            <w:r>
              <w:rPr>
                <w:sz w:val="22"/>
                <w:szCs w:val="22"/>
              </w:rPr>
              <w:t xml:space="preserve"> (ravnatelj)</w:t>
            </w:r>
          </w:p>
        </w:tc>
        <w:tc>
          <w:tcPr>
            <w:tcW w:type="dxa" w:w="4861"/>
            <w:tcBorders>
              <w:top w:val="thinThickSmallGap" w:color="2F5496" w:sz="24" w:space="0"/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tabs>
                <w:tab w:val="left" w:pos="3282"/>
              </w:tabs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VSS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  <w:t xml:space="preserve">prof. PTO-a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</w:t>
            </w:r>
            <w:r>
              <w:rPr>
                <w:sz w:val="22"/>
                <w:szCs w:val="22"/>
              </w:rPr>
              <w:t xml:space="preserve">. Slavica Glumičić</w:t>
            </w:r>
          </w:p>
        </w:tc>
        <w:tc>
          <w:tcPr>
            <w:tcW w:type="dxa" w:w="4861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VŠS/</w:t>
            </w:r>
            <w:r>
              <w:rPr>
                <w:sz w:val="22"/>
                <w:szCs w:val="22"/>
              </w:rPr>
              <w:t xml:space="preserve">ekonomist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</w:t>
            </w:r>
            <w:r>
              <w:rPr>
                <w:sz w:val="22"/>
                <w:szCs w:val="22"/>
              </w:rPr>
              <w:t xml:space="preserve">. Dajana Marković</w:t>
            </w:r>
          </w:p>
        </w:tc>
        <w:tc>
          <w:tcPr>
            <w:tcW w:type="dxa" w:w="4861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VŠS/</w:t>
            </w:r>
            <w:r>
              <w:rPr>
                <w:sz w:val="22"/>
                <w:szCs w:val="22"/>
              </w:rPr>
              <w:t xml:space="preserve">upravni pravnik</w:t>
            </w:r>
          </w:p>
        </w:tc>
      </w:tr>
      <w:tr>
        <w:trPr/>
        <w:tc>
          <w:tcPr>
            <w:tcW w:type="dxa" w:w="4208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shd w:fill="auto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rPr/>
            </w:pPr>
            <w:r>
              <w:rPr>
                <w:sz w:val="22"/>
                <w:szCs w:val="22"/>
              </w:rPr>
              <w:t xml:space="preserve">30</w:t>
            </w:r>
            <w:r>
              <w:rPr>
                <w:sz w:val="22"/>
                <w:szCs w:val="22"/>
              </w:rPr>
              <w:t xml:space="preserve">. Snježana Oršanić</w:t>
            </w:r>
          </w:p>
        </w:tc>
        <w:tc>
          <w:tcPr>
            <w:tcW w:type="dxa" w:w="4861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shd w:fill="auto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/>
              <w:ind w:left="79"/>
              <w:jc w:val="both"/>
              <w:rPr/>
            </w:pPr>
            <w:r>
              <w:rPr>
                <w:sz w:val="22"/>
                <w:szCs w:val="22"/>
              </w:rPr>
              <w:t xml:space="preserve">VŠS/</w:t>
            </w:r>
            <w:r>
              <w:rPr>
                <w:sz w:val="22"/>
                <w:szCs w:val="22"/>
              </w:rPr>
              <w:t xml:space="preserve">ekonomist</w:t>
            </w:r>
          </w:p>
        </w:tc>
      </w:tr>
    </w:tbl>
    <w:p w14:paraId="3B5AC52E">
      <w:pPr>
        <w:spacing/>
        <w:rPr>
          <w:lang w:eastAsia="hr-HR"/>
        </w:rPr>
      </w:pPr>
    </w:p>
    <w:p w14:paraId="03A0C886">
      <w:pPr>
        <w:spacing/>
        <w:rPr>
          <w:lang w:eastAsia="hr-HR"/>
        </w:rPr>
      </w:pPr>
    </w:p>
    <w:p w14:paraId="52D2E831">
      <w:pPr>
        <w:pStyle w:val="Naslov1"/>
        <w:numPr>
          <w:ilvl w:val="0"/>
          <w:numId w:val="11"/>
        </w:numPr>
        <w:spacing w:before="100" w:beforeAutospacing="1" w:after="100" w:afterAutospacing="1"/>
        <w:rPr>
          <w:bCs/>
        </w:rPr>
      </w:pPr>
      <w:r>
        <w:rPr>
          <w:sz w:val="28"/>
          <w:szCs w:val="28"/>
        </w:rPr>
        <w:t xml:space="preserve">S</w:t>
      </w:r>
      <w:r>
        <w:rPr>
          <w:rFonts w:eastAsia="Calibri"/>
          <w:sz w:val="28"/>
          <w:szCs w:val="28"/>
        </w:rPr>
        <w:t xml:space="preserve">trukovnom kurikulumu za stjecanje kvalifikacije referent/</w:t>
      </w:r>
      <w:r>
        <w:rPr>
          <w:rFonts w:eastAsia="Calibri"/>
          <w:sz w:val="28"/>
          <w:szCs w:val="28"/>
        </w:rPr>
        <w:t xml:space="preserve">ic</w:t>
      </w:r>
      <w:r>
        <w:rPr>
          <w:rFonts w:eastAsia="Calibri"/>
          <w:sz w:val="28"/>
          <w:szCs w:val="28"/>
        </w:rPr>
        <w:t xml:space="preserve">a</w:t>
      </w:r>
      <w:r>
        <w:rPr>
          <w:rFonts w:eastAsia="Calibri"/>
          <w:sz w:val="28"/>
          <w:szCs w:val="28"/>
        </w:rPr>
        <w:t xml:space="preserve"> za poslovnu ekonomiju</w:t>
      </w:r>
      <w:r>
        <w:rPr>
          <w:rFonts w:eastAsia="Calibri"/>
          <w:sz w:val="28"/>
          <w:szCs w:val="28"/>
        </w:rPr>
        <w:t xml:space="preserve"> – </w:t>
      </w:r>
      <w:r>
        <w:rPr>
          <w:rFonts w:eastAsia="Calibri"/>
        </w:rPr>
        <w:t xml:space="preserve">upisuju polaznici 1. i 2. razreda</w:t>
      </w: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Referent/</w:t>
            </w:r>
            <w:r>
              <w:rPr/>
              <w:t xml:space="preserve">ica</w:t>
            </w:r>
            <w:r>
              <w:rPr/>
              <w:t xml:space="preserve"> za poslovnu ekonomiju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1.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Povijest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490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379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B) </w:t>
            </w:r>
            <w:r>
              <w:rPr>
                <w:b/>
              </w:rPr>
              <w:t xml:space="preserve">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Uvod u poduzetništvo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Informacijsko-komunikacije tehnologije u uredskom poslovanju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računovodstva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osobne financije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28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37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poslovne komunikacije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38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62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Daktilografija u uredskom poslovanju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90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88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85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Engleski jezik struke/*</w:t>
            </w:r>
          </w:p>
          <w:p>
            <w:pPr>
              <w:spacing/>
              <w:rPr/>
            </w:pPr>
            <w:r>
              <w:rPr/>
              <w:t xml:space="preserve">Njemački jezik struke*</w:t>
            </w:r>
          </w:p>
          <w:p>
            <w:pPr>
              <w:spacing/>
              <w:rPr/>
            </w:pPr>
            <w:r>
              <w:rPr/>
              <w:t xml:space="preserve">1 – Osobni podatci u pisanom i usmenom izričaju</w:t>
            </w:r>
          </w:p>
          <w:p>
            <w:pPr>
              <w:spacing/>
              <w:rPr/>
            </w:pPr>
            <w:r>
              <w:rPr/>
              <w:t xml:space="preserve">2 – Poslovanje</w:t>
            </w:r>
          </w:p>
          <w:p>
            <w:pPr>
              <w:spacing/>
              <w:rPr/>
            </w:pPr>
            <w:r>
              <w:rPr/>
              <w:t xml:space="preserve">4 – Stručna praksa u inozemstvu i sudjelovanje u projektima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875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441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50%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167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274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434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1365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687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413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274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813</w:t>
            </w:r>
          </w:p>
        </w:tc>
      </w:tr>
    </w:tbl>
    <w:p w14:paraId="36E0EC1F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</w:p>
    <w:p w14:paraId="185A5DE4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</w:t>
      </w:r>
      <w:r>
        <w:rPr>
          <w:rFonts w:ascii="Times New Roman" w:hAnsi="Times New Roman" w:cs="Times New Roman"/>
          <w:sz w:val="20"/>
          <w:szCs w:val="20"/>
        </w:rPr>
        <w:t xml:space="preserve"> Odabire se jedan modul stranog jezika u struci (engleski, njemački ili talijanski) i razina učenja</w:t>
      </w:r>
    </w:p>
    <w:p w14:paraId="5DD0B23E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(1. – 4. godina učenja, 6. – 9. godina učenja ili 9. – 12. godina učenja).</w:t>
      </w:r>
    </w:p>
    <w:p w14:paraId="5F31CBF2">
      <w:pPr>
        <w:pStyle w:val="Odlomakpopisa"/>
        <w:spacing/>
        <w:ind w:left="420"/>
        <w:rPr>
          <w:rFonts w:ascii="Times New Roman" w:hAnsi="Times New Roman" w:cs="Times New Roman"/>
          <w:sz w:val="20"/>
          <w:szCs w:val="20"/>
        </w:rPr>
      </w:pPr>
    </w:p>
    <w:p w14:paraId="5174BC10">
      <w:pPr>
        <w:pStyle w:val="Odlomakpopisa"/>
        <w:spacing/>
        <w:ind w:left="420"/>
        <w:rPr/>
      </w:pPr>
    </w:p>
    <w:p w14:paraId="6C9B6BF8">
      <w:pPr>
        <w:pStyle w:val="Odlomakpopisa"/>
        <w:spacing/>
        <w:ind w:left="420"/>
        <w:rPr/>
      </w:pPr>
    </w:p>
    <w:p w14:paraId="739C2A6D">
      <w:pPr>
        <w:pStyle w:val="Odlomakpopisa"/>
        <w:spacing/>
        <w:ind w:left="420"/>
        <w:rPr/>
      </w:pPr>
    </w:p>
    <w:p w14:paraId="0D12BDEC">
      <w:pPr>
        <w:pStyle w:val="Odlomakpopisa"/>
        <w:spacing/>
        <w:ind w:left="420"/>
        <w:rPr/>
      </w:pPr>
    </w:p>
    <w:p w14:paraId="55786024">
      <w:pPr>
        <w:pStyle w:val="Odlomakpopisa"/>
        <w:spacing/>
        <w:ind w:left="420"/>
        <w:rPr/>
      </w:pPr>
    </w:p>
    <w:p w14:paraId="64D8C985">
      <w:pPr>
        <w:pStyle w:val="Odlomakpopisa"/>
        <w:spacing/>
        <w:ind w:left="420"/>
        <w:rPr/>
      </w:pPr>
    </w:p>
    <w:p w14:paraId="21B8D5F9">
      <w:pPr>
        <w:pStyle w:val="Odlomakpopisa"/>
        <w:spacing/>
        <w:ind w:left="420"/>
        <w:rPr/>
      </w:pPr>
    </w:p>
    <w:p w14:paraId="06897F65">
      <w:pPr>
        <w:pStyle w:val="Odlomakpopisa"/>
        <w:spacing/>
        <w:ind w:left="420"/>
        <w:rPr/>
      </w:pPr>
    </w:p>
    <w:p w14:paraId="358C1529">
      <w:pPr>
        <w:pStyle w:val="Odlomakpopisa"/>
        <w:spacing/>
        <w:ind w:left="420"/>
        <w:rPr/>
      </w:pPr>
    </w:p>
    <w:p w14:paraId="755233B2">
      <w:pPr>
        <w:pStyle w:val="Odlomakpopisa"/>
        <w:spacing/>
        <w:ind w:left="420"/>
        <w:rPr/>
      </w:pPr>
    </w:p>
    <w:p w14:paraId="6B2A9295">
      <w:pPr>
        <w:pStyle w:val="Odlomakpopisa"/>
        <w:spacing/>
        <w:ind w:left="420"/>
        <w:rPr/>
      </w:pPr>
    </w:p>
    <w:p w14:paraId="638DDBAC">
      <w:pPr>
        <w:pStyle w:val="Odlomakpopisa"/>
        <w:spacing/>
        <w:ind w:left="420"/>
        <w:rPr/>
      </w:pP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Referent/</w:t>
            </w:r>
            <w:r>
              <w:rPr/>
              <w:t xml:space="preserve">ica</w:t>
            </w:r>
            <w:r>
              <w:rPr/>
              <w:t xml:space="preserve"> za poslovnu ekonomiju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Povijest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490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379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Planiranje poduzetničke aktivnosti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Proračunske tablice u poslovanju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13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62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Računovodstvo imovine i obveza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Mikroekonomija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Ponašanje potrošača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Pisane poslovne komunikacije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13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62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Novčano poslovanje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/>
            </w:pPr>
            <w:r>
              <w:rPr/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32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800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401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50%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245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399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B2</w:t>
            </w:r>
            <w:r>
              <w:rPr>
                <w:b/>
              </w:rPr>
              <w:t xml:space="preserve">) Izborni strukovni modul</w:t>
            </w:r>
            <w:r>
              <w:rPr>
                <w:b/>
              </w:rPr>
              <w:t xml:space="preserve"> *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Poslovno pregovaranje/</w:t>
            </w:r>
          </w:p>
          <w:p>
            <w:pPr>
              <w:spacing/>
              <w:rPr/>
            </w:pPr>
            <w:r>
              <w:rPr/>
              <w:t xml:space="preserve">Poslovi u osiguranju/</w:t>
            </w:r>
          </w:p>
          <w:p>
            <w:pPr>
              <w:spacing/>
              <w:rPr/>
            </w:pPr>
            <w:r>
              <w:rPr/>
              <w:t xml:space="preserve">Medijska kultura u poslovanju/</w:t>
            </w:r>
          </w:p>
          <w:p>
            <w:pPr>
              <w:spacing/>
              <w:rPr/>
            </w:pPr>
            <w:r>
              <w:rPr/>
              <w:t xml:space="preserve">Računovodstvo fizičkih osoba/</w:t>
            </w:r>
          </w:p>
          <w:p>
            <w:pPr>
              <w:spacing/>
              <w:rPr/>
            </w:pPr>
            <w:r>
              <w:rPr/>
              <w:t xml:space="preserve">Ponašanje u poslovnom okruženju/</w:t>
            </w:r>
          </w:p>
          <w:p>
            <w:pPr>
              <w:spacing/>
              <w:rPr/>
            </w:pPr>
            <w:r>
              <w:rPr/>
              <w:t xml:space="preserve">Osnove projektnog upravljanja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52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52%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48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B2</w:t>
            </w:r>
            <w:r>
              <w:rPr>
                <w:b/>
              </w:rPr>
              <w:t xml:space="preserve">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100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52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52%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48</w:t>
            </w:r>
          </w:p>
        </w:tc>
      </w:tr>
      <w:tr>
        <w:trPr/>
        <w:tc>
          <w:tcPr>
            <w:tcW w:type="dxa" w:w="3114"/>
            <w:tcBorders/>
            <w:shd w:fill="FFC000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 + B2)</w:t>
            </w:r>
          </w:p>
        </w:tc>
        <w:tc>
          <w:tcPr>
            <w:tcW w:type="dxa" w:w="661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36</w:t>
            </w:r>
          </w:p>
        </w:tc>
        <w:tc>
          <w:tcPr>
            <w:tcW w:type="dxa" w:w="899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900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453</w:t>
            </w:r>
          </w:p>
        </w:tc>
        <w:tc>
          <w:tcPr>
            <w:tcW w:type="dxa" w:w="709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50%</w:t>
            </w:r>
          </w:p>
        </w:tc>
        <w:tc>
          <w:tcPr>
            <w:tcW w:type="dxa" w:w="643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158</w:t>
            </w:r>
          </w:p>
        </w:tc>
        <w:tc>
          <w:tcPr>
            <w:tcW w:type="dxa" w:w="574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295</w:t>
            </w:r>
          </w:p>
        </w:tc>
        <w:tc>
          <w:tcPr>
            <w:tcW w:type="dxa" w:w="1051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447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61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1390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699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404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295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826</w:t>
            </w:r>
          </w:p>
        </w:tc>
      </w:tr>
    </w:tbl>
    <w:p w14:paraId="68EEEECA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  <w:r>
        <w:rPr>
          <w:rFonts w:ascii="MinionPro-Cn" w:hAnsi="MinionPro-Cn" w:cs="MinionPro-C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*</w:t>
      </w:r>
      <w:r>
        <w:rPr>
          <w:rFonts w:ascii="Times New Roman" w:hAnsi="Times New Roman" w:cs="Times New Roman"/>
          <w:sz w:val="20"/>
          <w:szCs w:val="20"/>
        </w:rPr>
        <w:t xml:space="preserve">Odabire se jedan izborni modul  </w:t>
      </w:r>
    </w:p>
    <w:p w14:paraId="7D130C8D">
      <w:pPr>
        <w:pStyle w:val="Odlomakpopisa"/>
        <w:spacing/>
        <w:ind w:left="420"/>
        <w:rPr/>
      </w:pPr>
    </w:p>
    <w:p w14:paraId="21F5C616">
      <w:pPr>
        <w:spacing/>
        <w:rPr>
          <w:lang w:eastAsia="hr-HR"/>
        </w:rPr>
      </w:pPr>
    </w:p>
    <w:p w14:paraId="1B3784D4">
      <w:pPr>
        <w:spacing/>
        <w:rPr>
          <w:lang w:eastAsia="hr-HR"/>
        </w:rPr>
      </w:pPr>
    </w:p>
    <w:p w14:paraId="73B395CB">
      <w:pPr>
        <w:spacing/>
        <w:rPr>
          <w:lang w:eastAsia="hr-HR"/>
        </w:rPr>
      </w:pPr>
    </w:p>
    <w:p w14:paraId="195A917B">
      <w:pPr>
        <w:spacing/>
        <w:rPr>
          <w:lang w:eastAsia="hr-HR"/>
        </w:rPr>
      </w:pPr>
    </w:p>
    <w:p w14:paraId="41E4D2C2">
      <w:pPr>
        <w:spacing/>
        <w:rPr>
          <w:lang w:eastAsia="hr-HR"/>
        </w:rPr>
      </w:pPr>
    </w:p>
    <w:p w14:paraId="38F97491">
      <w:pPr>
        <w:spacing/>
        <w:rPr>
          <w:lang w:eastAsia="hr-HR"/>
        </w:rPr>
      </w:pPr>
    </w:p>
    <w:p w14:paraId="4F27121B">
      <w:pPr>
        <w:spacing/>
        <w:rPr>
          <w:lang w:eastAsia="hr-HR"/>
        </w:rPr>
      </w:pPr>
    </w:p>
    <w:p w14:paraId="6D393CA8">
      <w:pPr>
        <w:spacing/>
        <w:rPr>
          <w:lang w:eastAsia="hr-HR"/>
        </w:rPr>
      </w:pPr>
    </w:p>
    <w:p w14:paraId="4B715C65">
      <w:pPr>
        <w:pStyle w:val="Naslov1"/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bookmarkStart w:id="137" w:name="_Toc210485133"/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</w:t>
      </w:r>
      <w:r>
        <w:rPr>
          <w:sz w:val="28"/>
          <w:szCs w:val="28"/>
        </w:rPr>
        <w:t xml:space="preserve"> zanimanja ekonomist</w:t>
      </w:r>
      <w:bookmarkEnd w:id="136"/>
      <w:bookmarkEnd w:id="137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/>
        <w:t xml:space="preserve">u</w:t>
      </w:r>
      <w:r>
        <w:rPr/>
        <w:t xml:space="preserve">pisuju polaznici 3. il</w:t>
      </w:r>
      <w:r>
        <w:rPr/>
        <w:t xml:space="preserve">i 4. razreda te prekvalifikacija</w:t>
      </w:r>
      <w:r>
        <w:rPr/>
        <w:t xml:space="preserve"> u navedeno zanimanje</w:t>
      </w:r>
    </w:p>
    <w:tbl>
      <w:tblPr>
        <w:tblpPr w:leftFromText="180" w:rightFromText="180" w:vertAnchor="text" w:horzAnchor="margin" w:tblpXSpec="center" w:tblpY="39"/>
        <w:tblW w:w="98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78"/>
        <w:gridCol w:w="1679"/>
        <w:gridCol w:w="1843"/>
        <w:gridCol w:w="1701"/>
        <w:gridCol w:w="1843"/>
      </w:tblGrid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br.</w:t>
            </w:r>
          </w:p>
        </w:tc>
        <w:tc>
          <w:tcPr>
            <w:tcW w:type="dxa" w:w="2278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Nastavni predmet</w:t>
            </w:r>
          </w:p>
        </w:tc>
        <w:tc>
          <w:tcPr>
            <w:tcW w:type="dxa" w:w="1679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IV.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</w:tr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OPĆEOBRAZOVNI DIO</w:t>
            </w:r>
          </w:p>
        </w:tc>
        <w:tc>
          <w:tcPr>
            <w:tcW w:type="dxa" w:w="1679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Hrvatski jezik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 + 16)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Strani jezik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 + 16)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Povijest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Vjeronauk / Etika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 + 5)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Geografija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TZK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Matematika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 + 16)</w:t>
            </w:r>
          </w:p>
        </w:tc>
      </w:tr>
      <w:tr>
        <w:trPr>
          <w:trHeight w:val="240" w:hRule="atLeast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Kemija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Biologija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STRUKOVI DIO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10.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ekonomije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Statistika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+ 6 )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Poslovne komunikacije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Komunikacijsko prezentacijske vještine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(12 + 6)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14.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računovodstva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15.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Računovodstvo troškova i imovine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Računovodstvo proizvodnje i trgovine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17.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Poduzetničko računovodstvo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(11 + 5)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(96 + 0)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Marketing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(11 + 5) +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(32 + 0)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19.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Bankarstvo i osiguranje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(64 + 0)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Tržište kapitala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21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Poduzetništvo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Vježbenička tvrtka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(70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(64 + 0)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Društveno odgovorno poslovanje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Pravno okruženje poslovanja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Informatika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(70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(70 + 0)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IZBORNI DIO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26.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Obiteljski posao 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Globalno poslovno okruženje 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(35 + 0)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28.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Uvod u poslovno upravljanje **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29.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widowControl w:val="false"/>
              <w:autoSpaceDE w:val="false"/>
              <w:autoSpaceDN w:val="false"/>
              <w:spacing w:after="0" w:line="240" w:lineRule="auto"/>
              <w:ind w:left="13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turizma **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Računovodstvo neprofitnih organizacija***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31.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Upravljanje prodajom ***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(12 + 6) +35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25" w:hRule="atLeast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Analiza financijskih izvješća****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(11 + 5) 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>
          <w:trHeight w:val="255" w:hRule="atLeast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Marketing usluga****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(11 + 5) +32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textAlignment w:val="baseline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textAlignment w:val="baseline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UKUPNO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477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(315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+162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+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245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510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(336+174) +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175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442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(292 + 150) +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315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384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(256 + 128)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320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textAlignment w:val="baseline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textAlignment w:val="baseline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SVEUKUPNO</w:t>
            </w:r>
          </w:p>
        </w:tc>
        <w:tc>
          <w:tcPr>
            <w:tcW w:type="dxa" w:w="1679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722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685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757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704</w:t>
            </w:r>
          </w:p>
        </w:tc>
      </w:tr>
    </w:tbl>
    <w:p w14:paraId="13486279">
      <w:pPr>
        <w:shd w:val="clear" w:color="auto" w:fill="FFFFFF"/>
        <w:spacing w:before="360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</w:t>
      </w:r>
      <w:r>
        <w:rPr>
          <w:rFonts w:ascii="Times New Roman" w:hAnsi="Times New Roman" w:eastAsia="Times New Roman" w:cs="Times New Roman"/>
          <w:lang w:eastAsia="hr-HR"/>
        </w:rPr>
        <w:t xml:space="preserve"> =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 = skupne konzultacije,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 = individualn</w:t>
      </w:r>
      <w:bookmarkStart w:id="138" w:name="_Toc492894186"/>
      <w:bookmarkStart w:id="139" w:name="_Toc20425792"/>
      <w:bookmarkStart w:id="140" w:name="_Toc20425931"/>
      <w:bookmarkStart w:id="141" w:name="_Toc20426003"/>
      <w:bookmarkStart w:id="142" w:name="_Toc20426092"/>
      <w:bookmarkStart w:id="143" w:name="_Toc20426159"/>
      <w:bookmarkStart w:id="144" w:name="_Toc20853743"/>
      <w:bookmarkStart w:id="145" w:name="_Toc22651089"/>
      <w:bookmarkStart w:id="146" w:name="_Toc22655408"/>
      <w:bookmarkStart w:id="147" w:name="_Toc52265435"/>
      <w:bookmarkStart w:id="148" w:name="_Toc52266101"/>
      <w:bookmarkStart w:id="149" w:name="_Toc52266912"/>
      <w:bookmarkStart w:id="150" w:name="_Toc52267411"/>
      <w:bookmarkStart w:id="151" w:name="_Toc52267528"/>
      <w:r>
        <w:rPr>
          <w:rFonts w:ascii="Times New Roman" w:hAnsi="Times New Roman" w:eastAsia="Times New Roman" w:cs="Times New Roman"/>
          <w:lang w:eastAsia="hr-HR"/>
        </w:rPr>
        <w:t xml:space="preserve">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konzultacije</w:t>
      </w:r>
      <w:r>
        <w:rPr>
          <w:rFonts w:ascii="Times New Roman" w:hAnsi="Times New Roman" w:eastAsia="Times New Roman" w:cs="Times New Roman"/>
          <w:lang w:eastAsia="hr-HR"/>
        </w:rPr>
        <w:t xml:space="preserve">,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T = teorija, </w:t>
      </w:r>
      <w:r>
        <w:rPr>
          <w:rFonts w:ascii="Times New Roman" w:hAnsi="Times New Roman" w:eastAsia="Times New Roman" w:cs="Times New Roman"/>
          <w:lang w:eastAsia="hr-HR"/>
        </w:rPr>
        <w:t xml:space="preserve">V = vježbe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Program upisuju polaznici 2., 3. i 4.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razreda te </w:t>
      </w:r>
      <w:r>
        <w:rPr>
          <w:rFonts w:ascii="Times New Roman" w:hAnsi="Times New Roman" w:eastAsia="Times New Roman" w:cs="Times New Roman"/>
          <w:lang w:eastAsia="hr-HR"/>
        </w:rPr>
        <w:t xml:space="preserve">polaznici</w:t>
      </w:r>
      <w:r>
        <w:rPr>
          <w:rFonts w:ascii="Times New Roman" w:hAnsi="Times New Roman" w:eastAsia="Times New Roman" w:cs="Times New Roman"/>
          <w:lang w:eastAsia="hr-HR"/>
        </w:rPr>
        <w:t xml:space="preserve"> prekvalifikacije.</w:t>
      </w:r>
      <w:bookmarkStart w:id="152" w:name="_Toc52269911"/>
      <w:bookmarkStart w:id="153" w:name="_Toc52271368"/>
      <w:bookmarkStart w:id="154" w:name="_Toc52271642"/>
      <w:bookmarkStart w:id="155" w:name="_Toc179578105"/>
      <w:r>
        <w:rPr>
          <w:rFonts w:ascii="Times New Roman" w:hAnsi="Times New Roman" w:eastAsia="Times New Roman" w:cs="Times New Roman"/>
          <w:lang w:eastAsia="hr-HR"/>
        </w:rPr>
        <w:t xml:space="preserve"> </w:t>
      </w:r>
    </w:p>
    <w:p w14:paraId="4BDE49FE">
      <w:pPr>
        <w:pStyle w:val="Naslov1"/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bookmarkStart w:id="156" w:name="_Toc210485134"/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</w:t>
      </w:r>
      <w:r>
        <w:rPr>
          <w:sz w:val="28"/>
          <w:szCs w:val="28"/>
        </w:rPr>
        <w:t xml:space="preserve"> zanimanja šumarski  tehničar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r>
        <w:rPr/>
        <w:t xml:space="preserve"> </w:t>
      </w:r>
      <w:r>
        <w:rPr/>
        <w:t xml:space="preserve">upisuju polaznici 3. il</w:t>
      </w:r>
      <w:r>
        <w:rPr/>
        <w:t xml:space="preserve">i 4. razreda te prekvalifikacija</w:t>
      </w:r>
      <w:r>
        <w:rPr/>
        <w:t xml:space="preserve"> u navedeno zanimanje</w:t>
      </w:r>
    </w:p>
    <w:tbl>
      <w:tblPr>
        <w:tblpPr w:leftFromText="180" w:rightFromText="180" w:vertAnchor="text" w:horzAnchor="margin" w:tblpXSpec="center" w:tblpY="39"/>
        <w:tblW w:w="105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2272"/>
        <w:gridCol w:w="1816"/>
        <w:gridCol w:w="1980"/>
        <w:gridCol w:w="1979"/>
        <w:gridCol w:w="1980"/>
      </w:tblGrid>
      <w:tr>
        <w:trPr>
          <w:trHeight w:val="385" w:hRule="atLeast"/>
        </w:trPr>
        <w:tc>
          <w:tcPr>
            <w:tcW w:type="dxa" w:w="53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br.</w:t>
            </w:r>
          </w:p>
        </w:tc>
        <w:tc>
          <w:tcPr>
            <w:tcW w:type="dxa" w:w="227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Nastavni predmet</w:t>
            </w:r>
          </w:p>
        </w:tc>
        <w:tc>
          <w:tcPr>
            <w:tcW w:type="dxa" w:w="1816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979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IV.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1.</w:t>
            </w:r>
          </w:p>
        </w:tc>
        <w:tc>
          <w:tcPr>
            <w:tcW w:type="dxa" w:w="2272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Hrvatski jezik</w:t>
            </w:r>
          </w:p>
        </w:tc>
        <w:tc>
          <w:tcPr>
            <w:tcW w:type="dxa" w:w="1816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979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16)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Strani jezik -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eng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., njem.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Povijest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Geografija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Etika/Vjeronauk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Politika i gospodar.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TZK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Matematika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Fizika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10.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Kemija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Biologija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Botanika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 (17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8) + 21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Računalstvo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 + 35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 + 35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15.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Dendrologija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 (20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+ 10) + 45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 (13+7) + 30V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Pedologija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 (9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4) +10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17.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Meteorologija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 (9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4) + 10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Zaštita na radu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 (9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4) + 1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0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399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19.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Tehnič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 crtanje i nacrtna geometrija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 + 35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Ekologija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 (13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+ 30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Uzgajanje šuma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 (13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+ 30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23 (15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8) + 24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41 (27+14) + 14 V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23.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Anatomija i tehnologija drva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 (17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8) + 20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Iskorišćivanje šuma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 (13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+ 30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 (15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+ 20 V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Dendrometrija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21 (14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+ 28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3F3F3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26.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Uređivanje šuma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3F3F3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 + 65 V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Geodezija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31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+ 10) + 44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3F3F3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28.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Lovstvo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21 (14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+ 22 V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29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Organiz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proiz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 u šumarstvu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 (15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+ 20 V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Zaštita šuma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 (17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8) + 20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 (15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+ 20 V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31.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Radni strojevi i alati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29 (19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+10) + 12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21 (14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+ 28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Fitocenologija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 (16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8) + 22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33.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Ekonomika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 (17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8) + 20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34.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Šumarstvo na kršu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14 (9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 + 7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 + 28 V</w:t>
            </w:r>
          </w:p>
        </w:tc>
      </w:tr>
      <w:tr>
        <w:trPr>
          <w:trHeight w:val="239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Šumske komunikacije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) + 32 V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IZBORNA NASTAVA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36.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Genetika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37.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Parkovna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kultura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 (13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7) + 30 V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 + 35 V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38.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Građevinarstvo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trHeight w:val="385" w:hRule="atLeast"/>
        </w:trPr>
        <w:tc>
          <w:tcPr>
            <w:tcW w:type="dxa" w:w="53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UKUPNO</w:t>
            </w:r>
          </w:p>
        </w:tc>
        <w:tc>
          <w:tcPr>
            <w:tcW w:type="dxa" w:w="1816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486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(322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164) +121V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461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(304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157) + 202 V</w:t>
            </w:r>
          </w:p>
        </w:tc>
        <w:tc>
          <w:tcPr>
            <w:tcW w:type="dxa" w:w="1979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418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(277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141) + 288 V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402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(268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134) + 221 V</w:t>
            </w:r>
          </w:p>
        </w:tc>
      </w:tr>
      <w:tr>
        <w:trPr>
          <w:trHeight w:val="207" w:hRule="atLeast"/>
        </w:trPr>
        <w:tc>
          <w:tcPr>
            <w:tcW w:type="dxa" w:w="532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39.</w:t>
            </w:r>
          </w:p>
        </w:tc>
        <w:tc>
          <w:tcPr>
            <w:tcW w:type="dxa" w:w="2272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</w:t>
            </w:r>
          </w:p>
        </w:tc>
        <w:tc>
          <w:tcPr>
            <w:tcW w:type="dxa" w:w="1816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56</w:t>
            </w:r>
          </w:p>
        </w:tc>
        <w:tc>
          <w:tcPr>
            <w:tcW w:type="dxa" w:w="1979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56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60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40.</w:t>
            </w:r>
          </w:p>
        </w:tc>
        <w:tc>
          <w:tcPr>
            <w:tcW w:type="dxa" w:w="2272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Stručna praksa</w:t>
            </w:r>
          </w:p>
        </w:tc>
        <w:tc>
          <w:tcPr>
            <w:tcW w:type="dxa" w:w="1816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</w:p>
        </w:tc>
        <w:tc>
          <w:tcPr>
            <w:tcW w:type="dxa" w:w="1979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</w:p>
        </w:tc>
        <w:tc>
          <w:tcPr>
            <w:tcW w:type="dxa" w:w="1980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</w:t>
            </w:r>
          </w:p>
        </w:tc>
      </w:tr>
      <w:tr>
        <w:trPr>
          <w:trHeight w:val="193" w:hRule="atLeast"/>
        </w:trPr>
        <w:tc>
          <w:tcPr>
            <w:tcW w:type="dxa" w:w="53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SVEUKUPNO</w:t>
            </w:r>
          </w:p>
        </w:tc>
        <w:tc>
          <w:tcPr>
            <w:tcW w:type="dxa" w:w="1816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789</w:t>
            </w:r>
          </w:p>
        </w:tc>
        <w:tc>
          <w:tcPr>
            <w:tcW w:type="dxa" w:w="1979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832</w:t>
            </w:r>
          </w:p>
        </w:tc>
        <w:tc>
          <w:tcPr>
            <w:tcW w:type="dxa" w:w="1980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683</w:t>
            </w:r>
          </w:p>
        </w:tc>
      </w:tr>
    </w:tbl>
    <w:p w14:paraId="0DF7F1C6">
      <w:pPr>
        <w:spacing w:before="360" w:after="100" w:afterAutospacing="1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 =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.</w:t>
      </w:r>
      <w:r>
        <w:rPr>
          <w:rFonts w:ascii="Times New Roman" w:hAnsi="Times New Roman" w:eastAsia="Times New Roman" w:cs="Times New Roman"/>
          <w:lang w:eastAsia="hr-HR"/>
        </w:rPr>
        <w:t xml:space="preserve"> = skupne konzultacije, 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.</w:t>
      </w:r>
      <w:r>
        <w:rPr>
          <w:rFonts w:ascii="Times New Roman" w:hAnsi="Times New Roman" w:eastAsia="Times New Roman" w:cs="Times New Roman"/>
          <w:lang w:eastAsia="hr-HR"/>
        </w:rPr>
        <w:t xml:space="preserve"> = individualne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konzultacije</w:t>
      </w:r>
      <w:r>
        <w:rPr>
          <w:rFonts w:ascii="Times New Roman" w:hAnsi="Times New Roman" w:eastAsia="Times New Roman" w:cs="Times New Roman"/>
          <w:lang w:eastAsia="hr-HR"/>
        </w:rPr>
        <w:t xml:space="preserve">,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V = vježbe</w:t>
      </w:r>
      <w:bookmarkStart w:id="157" w:name="_Toc492894197"/>
      <w:bookmarkStart w:id="158" w:name="_Toc20425821"/>
      <w:bookmarkStart w:id="159" w:name="_Toc20425960"/>
      <w:bookmarkStart w:id="160" w:name="_Toc20426032"/>
      <w:bookmarkStart w:id="161" w:name="_Toc20426121"/>
      <w:bookmarkStart w:id="162" w:name="_Toc20426188"/>
      <w:bookmarkStart w:id="163" w:name="_Toc20853772"/>
      <w:bookmarkStart w:id="164" w:name="_Toc22651118"/>
      <w:bookmarkStart w:id="165" w:name="_Toc22655437"/>
      <w:bookmarkStart w:id="166" w:name="_Toc52265447"/>
      <w:bookmarkStart w:id="167" w:name="_Toc52266113"/>
      <w:bookmarkStart w:id="168" w:name="_Toc52266920"/>
      <w:bookmarkStart w:id="169" w:name="_Toc52267419"/>
      <w:bookmarkStart w:id="170" w:name="_Toc52267536"/>
      <w:bookmarkStart w:id="171" w:name="_Toc52269919"/>
      <w:bookmarkStart w:id="172" w:name="_Toc52271376"/>
      <w:bookmarkStart w:id="173" w:name="_Toc52271650"/>
      <w:bookmarkStart w:id="174" w:name="_Toc179578106"/>
      <w:r>
        <w:rPr>
          <w:rFonts w:ascii="Times New Roman" w:hAnsi="Times New Roman" w:eastAsia="Times New Roman" w:cs="Times New Roman"/>
          <w:lang w:eastAsia="hr-HR"/>
        </w:rPr>
        <w:t xml:space="preserve">.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Program upisuju polaznici 2., 3. i 4. razreda te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polaznici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prekvalifikacije.</w:t>
      </w:r>
    </w:p>
    <w:p w14:paraId="6F2D774C">
      <w:pPr>
        <w:spacing w:before="360" w:after="100" w:afterAutospacing="1"/>
        <w:jc w:val="both"/>
        <w:rPr>
          <w:rFonts w:ascii="Times New Roman" w:hAnsi="Times New Roman" w:eastAsia="Times New Roman" w:cs="Times New Roman"/>
          <w:lang w:eastAsia="hr-HR"/>
        </w:rPr>
      </w:pPr>
    </w:p>
    <w:p w14:paraId="6261D055">
      <w:pPr>
        <w:spacing w:before="360" w:after="100" w:afterAutospacing="1"/>
        <w:jc w:val="both"/>
        <w:rPr>
          <w:rFonts w:ascii="Times New Roman" w:hAnsi="Times New Roman" w:eastAsia="Times New Roman" w:cs="Times New Roman"/>
          <w:lang w:eastAsia="hr-HR"/>
        </w:rPr>
      </w:pPr>
    </w:p>
    <w:p w14:paraId="25C14B74">
      <w:pPr>
        <w:pStyle w:val="Naslov1"/>
        <w:numPr>
          <w:ilvl w:val="0"/>
          <w:numId w:val="11"/>
        </w:numPr>
        <w:spacing w:before="100" w:beforeAutospacing="1" w:after="100" w:afterAutospacing="1"/>
        <w:rPr>
          <w:rFonts w:eastAsia="Calibri"/>
        </w:rPr>
      </w:pPr>
      <w:r>
        <w:rPr>
          <w:sz w:val="28"/>
          <w:szCs w:val="28"/>
        </w:rPr>
        <w:t xml:space="preserve">S</w:t>
      </w:r>
      <w:r>
        <w:rPr>
          <w:rFonts w:eastAsia="Calibri"/>
          <w:sz w:val="28"/>
          <w:szCs w:val="28"/>
        </w:rPr>
        <w:t xml:space="preserve">trukovnom kurikulumu za stj</w:t>
      </w:r>
      <w:r>
        <w:rPr>
          <w:rFonts w:eastAsia="Calibri"/>
          <w:sz w:val="28"/>
          <w:szCs w:val="28"/>
        </w:rPr>
        <w:t xml:space="preserve">ecanje kvalifikacije tehničar</w:t>
      </w:r>
      <w:r>
        <w:rPr>
          <w:rFonts w:eastAsia="Calibri"/>
          <w:sz w:val="28"/>
          <w:szCs w:val="28"/>
        </w:rPr>
        <w:t xml:space="preserve">/ka</w:t>
      </w:r>
      <w:r>
        <w:rPr>
          <w:rFonts w:eastAsia="Calibri"/>
          <w:sz w:val="28"/>
          <w:szCs w:val="28"/>
        </w:rPr>
        <w:t xml:space="preserve"> za električne strojeve i elektroenergetiku– </w:t>
      </w:r>
      <w:r>
        <w:rPr>
          <w:rFonts w:eastAsia="Calibri"/>
        </w:rPr>
        <w:t xml:space="preserve">upisuju polaznici 1. i 2. razreda</w:t>
      </w: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Tehničar/ka za električne strojeve i elektroenergetiku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1.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</w:t>
            </w:r>
            <w:r>
              <w:rPr>
                <w:b/>
                <w:sz w:val="16"/>
                <w:szCs w:val="16"/>
              </w:rPr>
              <w:t xml:space="preserve"> + UTR</w:t>
            </w:r>
            <w:r>
              <w:rPr>
                <w:b/>
                <w:sz w:val="16"/>
                <w:szCs w:val="16"/>
              </w:rPr>
              <w:t xml:space="preserve">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Povijest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490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379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B) </w:t>
            </w:r>
            <w:r>
              <w:rPr>
                <w:b/>
              </w:rPr>
              <w:t xml:space="preserve">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Osnove mehanike materijalne točke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informacijske i komunikacije tehnologije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Obrada i spajanje materijala u elektrotehnici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74%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Tehničko crtanje i dokumentiranje u elektrotehnici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53%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elektrotehniku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200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65%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80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elektrotehniku s primjenom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275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210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76%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37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925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640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69%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210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430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285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62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1415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886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456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430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664</w:t>
            </w:r>
          </w:p>
        </w:tc>
      </w:tr>
    </w:tbl>
    <w:p w14:paraId="613FB469">
      <w:pPr>
        <w:pStyle w:val="Odlomakpopisa"/>
        <w:spacing/>
        <w:ind w:left="420"/>
        <w:rPr/>
      </w:pPr>
    </w:p>
    <w:p w14:paraId="3C721F13">
      <w:pPr>
        <w:pStyle w:val="Odlomakpopisa"/>
        <w:spacing/>
        <w:ind w:left="420"/>
        <w:rPr/>
      </w:pPr>
    </w:p>
    <w:p w14:paraId="2DA5F625">
      <w:pPr>
        <w:pStyle w:val="Odlomakpopisa"/>
        <w:spacing/>
        <w:ind w:left="420"/>
        <w:rPr/>
      </w:pPr>
    </w:p>
    <w:p w14:paraId="2E2517FB">
      <w:pPr>
        <w:pStyle w:val="Odlomakpopisa"/>
        <w:spacing/>
        <w:ind w:left="420"/>
        <w:rPr/>
      </w:pPr>
    </w:p>
    <w:p w14:paraId="222D94D0">
      <w:pPr>
        <w:pStyle w:val="Odlomakpopisa"/>
        <w:spacing/>
        <w:ind w:left="420"/>
        <w:rPr/>
      </w:pPr>
    </w:p>
    <w:p w14:paraId="17F9DB27">
      <w:pPr>
        <w:pStyle w:val="Odlomakpopisa"/>
        <w:spacing/>
        <w:ind w:left="420"/>
        <w:rPr/>
      </w:pPr>
    </w:p>
    <w:p w14:paraId="021804C1">
      <w:pPr>
        <w:pStyle w:val="Odlomakpopisa"/>
        <w:spacing/>
        <w:ind w:left="420"/>
        <w:rPr/>
      </w:pPr>
    </w:p>
    <w:p w14:paraId="1F856092">
      <w:pPr>
        <w:pStyle w:val="Odlomakpopisa"/>
        <w:spacing/>
        <w:ind w:left="420"/>
        <w:rPr/>
      </w:pPr>
    </w:p>
    <w:p w14:paraId="1BB67499">
      <w:pPr>
        <w:pStyle w:val="Odlomakpopisa"/>
        <w:spacing/>
        <w:ind w:left="420"/>
        <w:rPr/>
      </w:pPr>
    </w:p>
    <w:p w14:paraId="038B9BE5">
      <w:pPr>
        <w:pStyle w:val="Odlomakpopisa"/>
        <w:spacing/>
        <w:ind w:left="420"/>
        <w:rPr/>
      </w:pPr>
    </w:p>
    <w:p w14:paraId="5AD3D924">
      <w:pPr>
        <w:pStyle w:val="Odlomakpopisa"/>
        <w:spacing/>
        <w:ind w:left="420"/>
        <w:rPr/>
      </w:pPr>
    </w:p>
    <w:p w14:paraId="30B3066F">
      <w:pPr>
        <w:pStyle w:val="Odlomakpopisa"/>
        <w:spacing/>
        <w:ind w:left="420"/>
        <w:rPr/>
      </w:pPr>
    </w:p>
    <w:p w14:paraId="5297ACBA">
      <w:pPr>
        <w:pStyle w:val="Odlomakpopisa"/>
        <w:spacing/>
        <w:ind w:left="420"/>
        <w:rPr/>
      </w:pPr>
    </w:p>
    <w:p w14:paraId="1B62DEFC">
      <w:pPr>
        <w:pStyle w:val="Odlomakpopisa"/>
        <w:spacing/>
        <w:ind w:left="420"/>
        <w:rPr/>
      </w:pP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Tehničar/ka za električne strojeve i elektroenergetiku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</w:t>
            </w:r>
            <w:r>
              <w:rPr>
                <w:b/>
                <w:sz w:val="16"/>
                <w:szCs w:val="16"/>
              </w:rPr>
              <w:t xml:space="preserve"> + UTR</w:t>
            </w:r>
            <w:r>
              <w:rPr>
                <w:b/>
                <w:sz w:val="16"/>
                <w:szCs w:val="16"/>
              </w:rPr>
              <w:t xml:space="preserve">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140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130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Povijest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490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379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Osnove termodinamike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Elektrotehnika i digitalna tehnika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67%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Izmjenični strujni krugovi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Spajanje vodova i električne instalacije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120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80%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Tehničko i poslovno upravljanje i komuniciranje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73%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Programiranje i </w:t>
            </w:r>
            <w:r>
              <w:rPr/>
              <w:t xml:space="preserve">mikroupravljači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110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73%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Zaštita i održavanje električnih instalacija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90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72%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elektroenergetske sustave i zaštita 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53%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/>
            </w:pPr>
            <w:r>
              <w:rPr/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875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610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70%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195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415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265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1365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856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441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415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644</w:t>
            </w:r>
          </w:p>
        </w:tc>
      </w:tr>
    </w:tbl>
    <w:p w14:paraId="0A9D9FC0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</w:p>
    <w:p w14:paraId="30E5DE90">
      <w:pPr>
        <w:spacing/>
        <w:rPr>
          <w:lang w:eastAsia="hr-HR"/>
        </w:rPr>
      </w:pPr>
    </w:p>
    <w:p w14:paraId="0D869681">
      <w:pPr>
        <w:spacing/>
        <w:rPr>
          <w:lang w:eastAsia="hr-HR"/>
        </w:rPr>
      </w:pPr>
    </w:p>
    <w:p w14:paraId="1E5C14FA">
      <w:pPr>
        <w:spacing/>
        <w:rPr>
          <w:lang w:eastAsia="hr-HR"/>
        </w:rPr>
      </w:pPr>
    </w:p>
    <w:p w14:paraId="2A518B96">
      <w:pPr>
        <w:spacing/>
        <w:rPr>
          <w:lang w:eastAsia="hr-HR"/>
        </w:rPr>
      </w:pPr>
    </w:p>
    <w:p w14:paraId="1B80989F">
      <w:pPr>
        <w:spacing/>
        <w:rPr>
          <w:lang w:eastAsia="hr-HR"/>
        </w:rPr>
      </w:pPr>
    </w:p>
    <w:p w14:paraId="75FA34C3">
      <w:pPr>
        <w:spacing/>
        <w:rPr>
          <w:lang w:eastAsia="hr-HR"/>
        </w:rPr>
      </w:pPr>
    </w:p>
    <w:p w14:paraId="179302E6">
      <w:pPr>
        <w:spacing/>
        <w:rPr>
          <w:lang w:eastAsia="hr-HR"/>
        </w:rPr>
      </w:pPr>
    </w:p>
    <w:p w14:paraId="018FC022">
      <w:pPr>
        <w:spacing/>
        <w:rPr>
          <w:lang w:eastAsia="hr-HR"/>
        </w:rPr>
      </w:pPr>
    </w:p>
    <w:p w14:paraId="7928E5E2">
      <w:pPr>
        <w:spacing/>
        <w:rPr>
          <w:lang w:eastAsia="hr-HR"/>
        </w:rPr>
      </w:pPr>
    </w:p>
    <w:p w14:paraId="754851E8">
      <w:pPr>
        <w:spacing/>
        <w:rPr>
          <w:lang w:eastAsia="hr-HR"/>
        </w:rPr>
      </w:pPr>
    </w:p>
    <w:p w14:paraId="56504593">
      <w:pPr>
        <w:spacing/>
        <w:rPr>
          <w:lang w:eastAsia="hr-HR"/>
        </w:rPr>
      </w:pPr>
    </w:p>
    <w:p w14:paraId="4574936D">
      <w:pPr>
        <w:pStyle w:val="Naslov1"/>
        <w:numPr>
          <w:ilvl w:val="0"/>
          <w:numId w:val="11"/>
        </w:numPr>
        <w:spacing w:before="100" w:beforeAutospacing="1" w:after="100" w:afterAutospacing="1"/>
        <w:rPr/>
      </w:pPr>
      <w:bookmarkStart w:id="175" w:name="_Toc210485135"/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</w:t>
      </w:r>
      <w:r>
        <w:rPr>
          <w:sz w:val="28"/>
          <w:szCs w:val="28"/>
        </w:rPr>
        <w:t xml:space="preserve"> zanimanja elektrotehničar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r>
        <w:rPr>
          <w:sz w:val="28"/>
          <w:szCs w:val="28"/>
        </w:rPr>
        <w:t xml:space="preserve"> – </w:t>
      </w:r>
      <w:r>
        <w:rPr/>
        <w:t xml:space="preserve">upisuju polaznici 3. i 4. razreda te prekvalifikacija u navedeno zanimanje</w:t>
      </w:r>
    </w:p>
    <w:tbl>
      <w:tblPr>
        <w:tblpPr w:leftFromText="180" w:rightFromText="180" w:vertAnchor="text" w:horzAnchor="margin" w:tblpXSpec="center" w:tblpY="39"/>
        <w:tblW w:w="100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78"/>
        <w:gridCol w:w="1701"/>
        <w:gridCol w:w="1843"/>
        <w:gridCol w:w="1843"/>
        <w:gridCol w:w="1821"/>
      </w:tblGrid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br.</w:t>
            </w:r>
          </w:p>
        </w:tc>
        <w:tc>
          <w:tcPr>
            <w:tcW w:type="dxa" w:w="2278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Nastavni predmet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sk+ik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sk+ik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82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IV.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sk+ik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</w:tr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1.</w:t>
            </w:r>
          </w:p>
        </w:tc>
        <w:tc>
          <w:tcPr>
            <w:tcW w:type="dxa" w:w="2278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Hrvatski jezik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 + 18)</w:t>
            </w:r>
          </w:p>
        </w:tc>
        <w:tc>
          <w:tcPr>
            <w:tcW w:type="dxa" w:w="182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 + 16)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Strani jezik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Povijest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Etika/Vjeronauk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 + 5)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Geografija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Politika i gospodarstvo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Tjelesna i zdravstvena kultura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(10 + 25)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(10 + 25)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(10 + 25)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Matematika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 (47 + 23)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 (47 + 23)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 (47 + 23)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 (43 + 21)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Kemija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10.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Biologija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 + 6)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Fizika*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+ 35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+ 35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+ 35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T (21 + 11)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Računalstvo*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(13 + 5)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(13 + 5)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Tehničko crtanje i dokumentiranje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(14 + 8) + 28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15.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elektrotehnike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(13 + 5)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Mjerenja u elektrotehnici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17.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Elektrotehnički materijali i komponente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(23 + 12)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Automatsko vođenje procesa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(16 + 8)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19.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Radioničke vježbe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140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140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Elektronički sklopovi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(17 + 9) + 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Strojarstvo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23.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Električni strojevi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(17 + 9) + 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V 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Sklopni aparati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Električne instalacije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 + 12)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26.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Elektroenergetika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Energetska elektronika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3F3F3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(16 + 8) + 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28.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Elektromotorni pogoni *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 (16 + 8) + 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IZBORNI PREDMETI: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29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Električne instalacije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 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Obnovljivi izvori energije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 + 11)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31.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Autoelektrika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BFBFB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UKUPNO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427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(271 + 156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422 (267 + 155)+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315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403 (253 + 150)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263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392 (260 + 132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) +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239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2.</w:t>
            </w: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Stručna praksa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/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80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80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40</w:t>
            </w:r>
          </w:p>
        </w:tc>
      </w:tr>
      <w:tr>
        <w:trPr/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2278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SVEUKUPNO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630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817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746</w:t>
            </w:r>
          </w:p>
        </w:tc>
        <w:tc>
          <w:tcPr>
            <w:tcW w:type="dxa" w:w="1821"/>
            <w:tcBorders>
              <w:top w:val="double" w:color="ED7D31" w:sz="6" w:space="0"/>
              <w:left w:val="thinThickSmallGap" w:color="C45911" w:sz="24" w:space="0"/>
              <w:bottom w:val="double" w:color="ED7D31" w:sz="12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671</w:t>
            </w:r>
          </w:p>
        </w:tc>
      </w:tr>
    </w:tbl>
    <w:p w14:paraId="5470ABCC">
      <w:pPr>
        <w:shd w:val="clear" w:color="auto" w:fill="FFFFFF"/>
        <w:spacing w:before="360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 =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 = skupne konzultacije,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 = individualne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konzultacije, T = teorija, V = vježbe. Program upisuju polaznici 2., 3. i 4.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razreda te polaznici prekvalifikacije.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</w:p>
    <w:p w14:paraId="14322DA4">
      <w:pPr>
        <w:shd w:val="clear" w:color="auto" w:fill="FFFFFF"/>
        <w:spacing w:before="360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238A7D1F">
      <w:pPr>
        <w:shd w:val="clear" w:color="auto" w:fill="FFFFFF"/>
        <w:spacing w:before="360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037B97D5">
      <w:pPr>
        <w:pStyle w:val="Naslov1"/>
        <w:numPr>
          <w:ilvl w:val="0"/>
          <w:numId w:val="11"/>
        </w:numPr>
        <w:spacing w:before="100" w:beforeAutospacing="1" w:after="480"/>
        <w:rPr>
          <w:sz w:val="22"/>
          <w:szCs w:val="22"/>
        </w:rPr>
      </w:pPr>
      <w:bookmarkStart w:id="176" w:name="_Toc52266914"/>
      <w:bookmarkStart w:id="177" w:name="_Toc52267413"/>
      <w:bookmarkStart w:id="178" w:name="_Toc52267530"/>
      <w:bookmarkStart w:id="179" w:name="_Toc52269913"/>
      <w:bookmarkStart w:id="180" w:name="_Toc52271370"/>
      <w:bookmarkStart w:id="181" w:name="_Toc52271644"/>
      <w:bookmarkStart w:id="182" w:name="_Toc179578107"/>
      <w:bookmarkStart w:id="183" w:name="_Toc210485136"/>
      <w:bookmarkStart w:id="184" w:name="_Toc492894190"/>
      <w:bookmarkStart w:id="185" w:name="_Toc20425801"/>
      <w:bookmarkStart w:id="186" w:name="_Toc20425940"/>
      <w:bookmarkStart w:id="187" w:name="_Toc20426012"/>
      <w:bookmarkStart w:id="188" w:name="_Toc20426101"/>
      <w:bookmarkStart w:id="189" w:name="_Toc20426168"/>
      <w:bookmarkStart w:id="190" w:name="_Toc20853752"/>
      <w:bookmarkStart w:id="191" w:name="_Toc22651098"/>
      <w:bookmarkStart w:id="192" w:name="_Toc22655417"/>
      <w:bookmarkStart w:id="193" w:name="_Toc52265439"/>
      <w:bookmarkStart w:id="194" w:name="_Toc52266105"/>
      <w:r>
        <w:rPr>
          <w:sz w:val="28"/>
          <w:szCs w:val="28"/>
        </w:rPr>
        <w:t xml:space="preserve">Nastavni plan</w:t>
      </w:r>
      <w:r>
        <w:rPr>
          <w:sz w:val="28"/>
          <w:szCs w:val="28"/>
        </w:rPr>
        <w:t xml:space="preserve"> i program</w:t>
      </w:r>
      <w:r>
        <w:rPr>
          <w:sz w:val="28"/>
          <w:szCs w:val="28"/>
        </w:rPr>
        <w:t xml:space="preserve"> zanimanja automehaničar</w:t>
      </w:r>
      <w:bookmarkEnd w:id="176"/>
      <w:bookmarkEnd w:id="177"/>
      <w:bookmarkEnd w:id="178"/>
      <w:bookmarkEnd w:id="179"/>
      <w:bookmarkEnd w:id="180"/>
      <w:bookmarkEnd w:id="181"/>
      <w:r>
        <w:rPr>
          <w:sz w:val="28"/>
          <w:szCs w:val="28"/>
        </w:rPr>
        <w:t xml:space="preserve"> </w:t>
      </w:r>
      <w:bookmarkStart w:id="195" w:name="_Toc52266915"/>
      <w:bookmarkStart w:id="196" w:name="_Toc52267414"/>
      <w:bookmarkStart w:id="197" w:name="_Toc52267531"/>
      <w:bookmarkStart w:id="198" w:name="_Toc52269914"/>
      <w:bookmarkStart w:id="199" w:name="_Toc52271371"/>
      <w:bookmarkStart w:id="200" w:name="_Toc52271645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(jedinstveni model obrazovanja)</w:t>
      </w:r>
      <w:bookmarkEnd w:id="182"/>
      <w:bookmarkEnd w:id="183"/>
      <w:bookmarkEnd w:id="195"/>
      <w:bookmarkEnd w:id="196"/>
      <w:bookmarkEnd w:id="197"/>
      <w:bookmarkEnd w:id="198"/>
      <w:bookmarkEnd w:id="199"/>
      <w:bookmarkEnd w:id="200"/>
      <w:r>
        <w:rPr>
          <w:sz w:val="28"/>
          <w:szCs w:val="28"/>
        </w:rPr>
        <w:t xml:space="preserve"> 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r>
        <w:rPr>
          <w:sz w:val="22"/>
          <w:szCs w:val="22"/>
        </w:rPr>
        <w:t xml:space="preserve">– upisuju polaznici 3. razreda</w:t>
      </w:r>
      <w:r>
        <w:rPr>
          <w:sz w:val="22"/>
          <w:szCs w:val="22"/>
        </w:rPr>
        <w:t xml:space="preserve"> i prekvalifikacija u navedeno zanimanje</w:t>
      </w:r>
    </w:p>
    <w:tbl>
      <w:tblPr>
        <w:tblW w:w="8908" w:type="dxa"/>
        <w:tblBorders>
          <w:top w:val="double" w:color="ED7D31" w:sz="4" w:space="0"/>
          <w:left w:val="double" w:color="ED7D31" w:sz="4" w:space="0"/>
          <w:bottom w:val="double" w:color="ED7D31" w:sz="4" w:space="0"/>
          <w:right w:val="double" w:color="ED7D31" w:sz="4" w:space="0"/>
          <w:insideH w:val="double" w:color="ED7D31" w:sz="4" w:space="0"/>
          <w:insideV w:val="double" w:color="ED7D31" w:sz="4" w:space="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71"/>
        <w:gridCol w:w="1701"/>
        <w:gridCol w:w="1559"/>
        <w:gridCol w:w="1843"/>
      </w:tblGrid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br.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Nastavni predmet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559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</w:tr>
      <w:tr>
        <w:trPr/>
        <w:tc>
          <w:tcPr>
            <w:tcW w:type="dxa" w:w="8908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                                                           A) OPĆEOBRAZOVNI DIO</w:t>
            </w:r>
          </w:p>
        </w:tc>
      </w:tr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Hrvatski jezik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559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Strani jezik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3. 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Povijest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Vjeronauk/Etika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Tjelesna i zdravstvena kultura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6.</w:t>
            </w:r>
          </w:p>
        </w:tc>
        <w:tc>
          <w:tcPr>
            <w:tcW w:type="dxa" w:w="327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Politika i gospodarstvo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8908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B) STRUČNO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TEORIJSKI DIO</w:t>
            </w:r>
          </w:p>
        </w:tc>
      </w:tr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računalstva *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 (18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9)</w:t>
            </w:r>
          </w:p>
        </w:tc>
        <w:tc>
          <w:tcPr>
            <w:tcW w:type="dxa" w:w="1559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Matematika u struci  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 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Tehničko crtanje *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 (18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tehničke mehanike **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tehničkih materijala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Elementi strojeva 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DBDBDB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automatizacije ***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14.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elektrotehnike i elektronike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15.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Tehnike motornih vozila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Izborni dio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  <w:t xml:space="preserve">1)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 materijala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Tehnike motornih vozila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održavanja vozila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327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 K U P N O :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284 (188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96)</w:t>
            </w:r>
          </w:p>
        </w:tc>
        <w:tc>
          <w:tcPr>
            <w:tcW w:type="dxa" w:w="1559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282 (186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96)</w:t>
            </w:r>
          </w:p>
        </w:tc>
        <w:tc>
          <w:tcPr>
            <w:tcW w:type="dxa" w:w="1843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240 (161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79)</w:t>
            </w:r>
          </w:p>
        </w:tc>
      </w:tr>
      <w:tr>
        <w:trPr/>
        <w:tc>
          <w:tcPr>
            <w:tcW w:type="dxa" w:w="8908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C) PRAKTIČNI DIO</w:t>
            </w:r>
          </w:p>
        </w:tc>
      </w:tr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 u školi s vježbama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340</w:t>
            </w:r>
          </w:p>
        </w:tc>
        <w:tc>
          <w:tcPr>
            <w:tcW w:type="dxa" w:w="1559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270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160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3271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 u školskoj radionici najviše sati 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  <w:t xml:space="preserve">3)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obrade i montaže //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Tehnike motornih vozila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održavanja vozila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  <w:t xml:space="preserve">2)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559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</w:t>
            </w:r>
          </w:p>
        </w:tc>
        <w:tc>
          <w:tcPr>
            <w:tcW w:type="dxa" w:w="327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 u radnom procesu -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 najmanje sati 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560</w:t>
            </w:r>
          </w:p>
        </w:tc>
        <w:tc>
          <w:tcPr>
            <w:tcW w:type="dxa" w:w="1559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630</w:t>
            </w:r>
          </w:p>
        </w:tc>
        <w:tc>
          <w:tcPr>
            <w:tcW w:type="dxa" w:w="1843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640</w:t>
            </w:r>
          </w:p>
        </w:tc>
      </w:tr>
      <w:tr>
        <w:trPr/>
        <w:tc>
          <w:tcPr>
            <w:tcW w:type="dxa" w:w="534"/>
            <w:vMerge w:val="restart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UKUPNO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900</w:t>
            </w:r>
          </w:p>
        </w:tc>
        <w:tc>
          <w:tcPr>
            <w:tcW w:type="dxa" w:w="1559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900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800</w:t>
            </w:r>
          </w:p>
        </w:tc>
      </w:tr>
      <w:tr>
        <w:trPr/>
        <w:tc>
          <w:tcPr>
            <w:tcW w:type="dxa" w:w="534"/>
            <w:vMerge w:val="continue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327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SVEUKUPNO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1184</w:t>
            </w:r>
          </w:p>
        </w:tc>
        <w:tc>
          <w:tcPr>
            <w:tcW w:type="dxa" w:w="1559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1182</w:t>
            </w:r>
          </w:p>
        </w:tc>
        <w:tc>
          <w:tcPr>
            <w:tcW w:type="dxa" w:w="1843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1040</w:t>
            </w:r>
          </w:p>
        </w:tc>
      </w:tr>
    </w:tbl>
    <w:p w14:paraId="3E57E121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 =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 = skupne konzultacije, 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 = individualne</w:t>
      </w:r>
      <w:r>
        <w:rPr>
          <w:rFonts w:ascii="Times New Roman" w:hAnsi="Times New Roman" w:eastAsia="Times New Roman" w:cs="Times New Roman"/>
          <w:lang w:eastAsia="hr-HR"/>
        </w:rPr>
        <w:t xml:space="preserve"> konzultacije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* Okvirni sadržaj izvodi se 0,5 sati s cijelim razrednom (teorijski dio), 1 sat u skupinama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** Okvirni sadržaj izvodi se 1 sat s cijelim razredom (teorijski dio), 1 sat u skupinama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*** Okvirni sadržaj izvodi se 0,5 sati s cijelim razredom (teorijski dio), 1,5 sati u skupinama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// Okvirni sadržaj izvodi se 1 sat s cijelim razredom (teorijski dio) 1 sat u skupinama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vertAlign w:val="superscript"/>
          <w:lang w:eastAsia="hr-HR"/>
        </w:rPr>
        <w:t xml:space="preserve">2) </w:t>
      </w:r>
      <w:r>
        <w:rPr>
          <w:rFonts w:ascii="Times New Roman" w:hAnsi="Times New Roman" w:eastAsia="Times New Roman" w:cs="Times New Roman"/>
          <w:lang w:eastAsia="hr-HR"/>
        </w:rPr>
        <w:t xml:space="preserve">Okvirni sadržaj izvodi se u obliku vježbi po skupin</w:t>
      </w:r>
      <w:r>
        <w:rPr>
          <w:rFonts w:ascii="Times New Roman" w:hAnsi="Times New Roman" w:eastAsia="Times New Roman" w:cs="Times New Roman"/>
          <w:lang w:eastAsia="hr-HR"/>
        </w:rPr>
        <w:t xml:space="preserve">ama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Program upisuju</w:t>
      </w:r>
      <w:r>
        <w:rPr>
          <w:rFonts w:ascii="Times New Roman" w:hAnsi="Times New Roman" w:eastAsia="Times New Roman" w:cs="Times New Roman"/>
          <w:lang w:eastAsia="hr-HR"/>
        </w:rPr>
        <w:t xml:space="preserve"> polaznici 2. i 3.</w:t>
      </w:r>
      <w:r>
        <w:rPr>
          <w:rFonts w:ascii="Times New Roman" w:hAnsi="Times New Roman" w:eastAsia="Times New Roman" w:cs="Times New Roman"/>
          <w:lang w:eastAsia="hr-HR"/>
        </w:rPr>
        <w:t xml:space="preserve"> razred te polaznici prekvalifikacije.</w:t>
      </w:r>
    </w:p>
    <w:p w14:paraId="6B5E1116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7F663B08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55B7F836">
      <w:pPr>
        <w:pStyle w:val="Naslov1"/>
        <w:numPr>
          <w:ilvl w:val="0"/>
          <w:numId w:val="11"/>
        </w:numPr>
        <w:spacing w:before="100" w:beforeAutospacing="1" w:after="480"/>
        <w:rPr>
          <w:sz w:val="22"/>
          <w:szCs w:val="22"/>
        </w:rPr>
      </w:pPr>
      <w:bookmarkStart w:id="201" w:name="_Toc52266916"/>
      <w:bookmarkStart w:id="202" w:name="_Toc52267415"/>
      <w:bookmarkStart w:id="203" w:name="_Toc52267532"/>
      <w:bookmarkStart w:id="204" w:name="_Toc52269915"/>
      <w:bookmarkStart w:id="205" w:name="_Toc52271372"/>
      <w:bookmarkStart w:id="206" w:name="_Toc52271646"/>
      <w:bookmarkStart w:id="207" w:name="_Toc179578108"/>
      <w:bookmarkStart w:id="208" w:name="_Toc210485137"/>
      <w:bookmarkStart w:id="209" w:name="_Toc492894192"/>
      <w:bookmarkStart w:id="210" w:name="_Toc20425807"/>
      <w:bookmarkStart w:id="211" w:name="_Toc20425946"/>
      <w:bookmarkStart w:id="212" w:name="_Toc20426018"/>
      <w:bookmarkStart w:id="213" w:name="_Toc20426107"/>
      <w:bookmarkStart w:id="214" w:name="_Toc20426174"/>
      <w:bookmarkStart w:id="215" w:name="_Toc20853758"/>
      <w:bookmarkStart w:id="216" w:name="_Toc22651104"/>
      <w:bookmarkStart w:id="217" w:name="_Toc22655423"/>
      <w:bookmarkStart w:id="218" w:name="_Toc52265441"/>
      <w:bookmarkStart w:id="219" w:name="_Toc52266107"/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 </w:t>
      </w:r>
      <w:r>
        <w:rPr>
          <w:sz w:val="28"/>
          <w:szCs w:val="28"/>
        </w:rPr>
        <w:t xml:space="preserve">zanimanja strojobravar</w:t>
      </w:r>
      <w:bookmarkEnd w:id="201"/>
      <w:bookmarkEnd w:id="202"/>
      <w:bookmarkEnd w:id="203"/>
      <w:bookmarkEnd w:id="204"/>
      <w:bookmarkEnd w:id="205"/>
      <w:bookmarkEnd w:id="206"/>
      <w:r>
        <w:rPr>
          <w:sz w:val="28"/>
          <w:szCs w:val="28"/>
        </w:rPr>
        <w:t xml:space="preserve"> </w:t>
      </w:r>
      <w:bookmarkStart w:id="220" w:name="_Toc52266917"/>
      <w:bookmarkStart w:id="221" w:name="_Toc52267416"/>
      <w:bookmarkStart w:id="222" w:name="_Toc52267533"/>
      <w:bookmarkStart w:id="223" w:name="_Toc52269916"/>
      <w:bookmarkStart w:id="224" w:name="_Toc52271373"/>
      <w:bookmarkStart w:id="225" w:name="_Toc52271647"/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jedinstveni model obrazovanja)</w:t>
      </w:r>
      <w:bookmarkEnd w:id="207"/>
      <w:bookmarkEnd w:id="208"/>
      <w:bookmarkEnd w:id="220"/>
      <w:bookmarkEnd w:id="221"/>
      <w:bookmarkEnd w:id="222"/>
      <w:bookmarkEnd w:id="223"/>
      <w:bookmarkEnd w:id="224"/>
      <w:bookmarkEnd w:id="225"/>
      <w:r>
        <w:rPr>
          <w:sz w:val="28"/>
          <w:szCs w:val="28"/>
        </w:rPr>
        <w:t xml:space="preserve"> </w:t>
      </w:r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r>
        <w:rPr>
          <w:sz w:val="28"/>
          <w:szCs w:val="28"/>
        </w:rPr>
        <w:t xml:space="preserve">- </w:t>
      </w:r>
      <w:r>
        <w:rPr>
          <w:sz w:val="22"/>
          <w:szCs w:val="22"/>
        </w:rPr>
        <w:t xml:space="preserve">upisuju polaznici 3. razreda</w:t>
      </w:r>
      <w:r>
        <w:rPr>
          <w:sz w:val="22"/>
          <w:szCs w:val="22"/>
        </w:rPr>
        <w:t xml:space="preserve"> i prekvalifikacija u navedeno zanimanje</w:t>
      </w:r>
    </w:p>
    <w:tbl>
      <w:tblPr>
        <w:tblW w:w="89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71"/>
        <w:gridCol w:w="1701"/>
        <w:gridCol w:w="1701"/>
        <w:gridCol w:w="1701"/>
      </w:tblGrid>
      <w:tr>
        <w:trPr>
          <w:jc w:val="center"/>
        </w:trPr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br.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Nastavni predmet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sk+ik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.(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sk+ik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)</w:t>
            </w:r>
          </w:p>
        </w:tc>
      </w:tr>
      <w:tr>
        <w:trPr>
          <w:jc w:val="center"/>
        </w:trPr>
        <w:tc>
          <w:tcPr>
            <w:tcW w:type="dxa" w:w="8908"/>
            <w:gridSpan w:val="5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A) OPĆEOBRAZOVNI DIO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Hrvatski jezik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+ 18)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Strani jezik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3. 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Povijest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4.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Vjeronauk/Etika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Tjelesna i zdravstvena kultura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Politika i gospodarstvo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908"/>
            <w:gridSpan w:val="5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B) STRUČNO-TEORIJSKI DIO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računalstva 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 (18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8.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Matematika u struci 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5)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Tehničko crtanje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  <w:t xml:space="preserve">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27 (18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10.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Osnove tehničke mehanike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obrade i montaže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obrade i održavanja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13.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Elementi strojeva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E6E6E6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14.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strojobravarije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15.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Praktikum: Osnove automatizacije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16.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Praktikum: Nove tehnologije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(CAD - CNC - CAM)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  <w:t xml:space="preserve">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17.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Izborni dio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 Osnove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 materijala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 Ispitivanje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. materijala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- Tehničko crtanje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3805"/>
            <w:gridSpan w:val="2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 K U P N 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302 (200 + 102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302 (200 + 102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256 (170 + 86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)</w:t>
            </w:r>
          </w:p>
        </w:tc>
      </w:tr>
      <w:tr>
        <w:trPr>
          <w:jc w:val="center"/>
        </w:trPr>
        <w:tc>
          <w:tcPr>
            <w:tcW w:type="dxa" w:w="8908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C) PRAKTIČNI DIO –  PRAKTIČNA  NASTAVA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18.</w:t>
            </w:r>
          </w:p>
        </w:tc>
        <w:tc>
          <w:tcPr>
            <w:tcW w:type="dxa" w:w="327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 u školi s vježbama – najviše sati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305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200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96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19.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 u školskoj radionici najviše sati 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  <w:t xml:space="preserve">1)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  <w:vertAlign w:val="superscript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obrade i montaže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obrade i održavanja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Tehnologija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strojobravarije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35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70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64</w:t>
            </w:r>
          </w:p>
        </w:tc>
      </w:tr>
      <w:tr>
        <w:trPr>
          <w:jc w:val="center"/>
        </w:trPr>
        <w:tc>
          <w:tcPr>
            <w:tcW w:type="dxa" w:w="534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20.</w:t>
            </w: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Praktična nastava u radnom procesu: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  <w:t xml:space="preserve">najmanje sati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560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630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640</w:t>
            </w:r>
          </w:p>
        </w:tc>
      </w:tr>
      <w:tr>
        <w:trPr>
          <w:jc w:val="center"/>
        </w:trPr>
        <w:tc>
          <w:tcPr>
            <w:tcW w:type="dxa" w:w="534"/>
            <w:vMerge w:val="restart"/>
            <w:tcBorders>
              <w:top w:val="double" w:color="ED7D31" w:sz="6" w:space="0"/>
              <w:left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U K U P N 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900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900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800</w:t>
            </w:r>
          </w:p>
        </w:tc>
      </w:tr>
      <w:tr>
        <w:trPr>
          <w:jc w:val="center"/>
        </w:trPr>
        <w:tc>
          <w:tcPr>
            <w:tcW w:type="dxa" w:w="534"/>
            <w:vMerge w:val="continue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type="dxa" w:w="327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S V E U K U P N 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1202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1202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hr-HR"/>
              </w:rPr>
              <w:t xml:space="preserve">1056</w:t>
            </w:r>
          </w:p>
        </w:tc>
      </w:tr>
    </w:tbl>
    <w:p w14:paraId="1046F60C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 =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 = skupne konzultacije,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 = individualne konzultacije </w:t>
      </w:r>
      <w:r>
        <w:rPr>
          <w:rFonts w:ascii="Times New Roman" w:hAnsi="Times New Roman" w:eastAsia="Times New Roman" w:cs="Times New Roman"/>
          <w:lang w:eastAsia="hr-HR"/>
        </w:rPr>
        <w:t xml:space="preserve">Tehnologija obrade i montaže, tehnologija obrade i održavanja i Tehnologija </w:t>
      </w:r>
      <w:r>
        <w:rPr>
          <w:rFonts w:ascii="Times New Roman" w:hAnsi="Times New Roman" w:eastAsia="Times New Roman" w:cs="Times New Roman"/>
          <w:lang w:eastAsia="hr-HR"/>
        </w:rPr>
        <w:t xml:space="preserve">strojobravarije</w:t>
      </w:r>
      <w:r>
        <w:rPr>
          <w:rFonts w:ascii="Times New Roman" w:hAnsi="Times New Roman" w:eastAsia="Times New Roman" w:cs="Times New Roman"/>
          <w:lang w:eastAsia="hr-HR"/>
        </w:rPr>
        <w:t xml:space="preserve"> su nastavni predmeti koji su u korelaciji sa sadržajima praktične nastave i upisuju se u svjedodžbu.</w:t>
      </w:r>
      <w:bookmarkStart w:id="226" w:name="_Toc52266918"/>
      <w:bookmarkStart w:id="227" w:name="_Toc52267417"/>
      <w:bookmarkStart w:id="228" w:name="_Toc52267534"/>
      <w:bookmarkStart w:id="229" w:name="_Toc492894194"/>
      <w:bookmarkStart w:id="230" w:name="_Toc20425813"/>
      <w:bookmarkStart w:id="231" w:name="_Toc20425952"/>
      <w:bookmarkStart w:id="232" w:name="_Toc20426024"/>
      <w:bookmarkStart w:id="233" w:name="_Toc20426113"/>
      <w:bookmarkStart w:id="234" w:name="_Toc20426180"/>
      <w:bookmarkStart w:id="235" w:name="_Toc20853764"/>
      <w:bookmarkStart w:id="236" w:name="_Toc22651110"/>
      <w:bookmarkStart w:id="237" w:name="_Toc22655429"/>
      <w:bookmarkStart w:id="238" w:name="_Toc52265443"/>
      <w:bookmarkStart w:id="239" w:name="_Toc52266109"/>
    </w:p>
    <w:p w14:paraId="447C2847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15BD7A7F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435BE655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23C25542">
      <w:pPr>
        <w:shd w:val="clear" w:color="auto" w:fill="FFFFFF"/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39747D58">
      <w:pPr>
        <w:pStyle w:val="Naslov1"/>
        <w:numPr>
          <w:ilvl w:val="0"/>
          <w:numId w:val="11"/>
        </w:numPr>
        <w:spacing w:before="100" w:beforeAutospacing="1" w:after="100" w:afterAutospacing="1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S</w:t>
      </w:r>
      <w:r>
        <w:rPr>
          <w:rFonts w:eastAsia="Calibri"/>
          <w:sz w:val="28"/>
          <w:szCs w:val="28"/>
        </w:rPr>
        <w:t xml:space="preserve">trukovnom kurikulumu za stj</w:t>
      </w:r>
      <w:r>
        <w:rPr>
          <w:rFonts w:eastAsia="Calibri"/>
          <w:sz w:val="28"/>
          <w:szCs w:val="28"/>
        </w:rPr>
        <w:t xml:space="preserve">ecanje kvalifikac</w:t>
      </w:r>
      <w:r>
        <w:rPr>
          <w:rFonts w:eastAsia="Calibri"/>
          <w:sz w:val="28"/>
          <w:szCs w:val="28"/>
        </w:rPr>
        <w:t xml:space="preserve">ije elektr</w:t>
      </w:r>
      <w:r>
        <w:rPr>
          <w:rFonts w:eastAsia="Calibri"/>
          <w:sz w:val="28"/>
          <w:szCs w:val="28"/>
        </w:rPr>
        <w:t xml:space="preserve">omehaničar/k</w:t>
      </w:r>
      <w:r>
        <w:rPr>
          <w:rFonts w:eastAsia="Calibri"/>
          <w:sz w:val="28"/>
          <w:szCs w:val="28"/>
        </w:rPr>
        <w:t xml:space="preserve">a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- </w:t>
      </w:r>
      <w:r>
        <w:rPr>
          <w:rFonts w:eastAsia="Calibri"/>
        </w:rPr>
        <w:t xml:space="preserve">upisuju polaznici 1. i 2. razreda</w:t>
      </w:r>
      <w:r>
        <w:rPr>
          <w:rFonts w:eastAsia="Calibri"/>
          <w:sz w:val="28"/>
          <w:szCs w:val="28"/>
        </w:rPr>
        <w:t xml:space="preserve"> </w:t>
      </w: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Elektromehaničar/ka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</w:t>
            </w:r>
            <w:r>
              <w:rPr>
                <w:b/>
                <w:sz w:val="16"/>
                <w:szCs w:val="16"/>
              </w:rPr>
              <w:t xml:space="preserve"> + UTR</w:t>
            </w:r>
            <w:r>
              <w:rPr>
                <w:b/>
                <w:sz w:val="16"/>
                <w:szCs w:val="16"/>
              </w:rPr>
              <w:t xml:space="preserve">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97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Povijest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16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176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224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Osnove praktične matematike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Poznavanje, obrada i spajanje materijala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275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215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78%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200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Tehničko crtanje i dokumentiranje u elektrotehnici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45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elektrotehnike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250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informacijske i komunikacijske tehnologije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Električne instalacije i električni vodovi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240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80%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200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44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1100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760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69%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180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580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340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1450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936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356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580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564</w:t>
            </w:r>
          </w:p>
        </w:tc>
      </w:tr>
    </w:tbl>
    <w:p w14:paraId="0B8F3BD8">
      <w:pPr>
        <w:pStyle w:val="Odlomakpopisa"/>
        <w:spacing/>
        <w:ind w:left="420"/>
        <w:rPr/>
      </w:pPr>
    </w:p>
    <w:p w14:paraId="0977B5EF">
      <w:pPr>
        <w:pStyle w:val="Odlomakpopisa"/>
        <w:spacing/>
        <w:ind w:left="420"/>
        <w:rPr/>
      </w:pP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Elektromehaničar/ka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</w:t>
            </w:r>
            <w:r>
              <w:rPr>
                <w:b/>
                <w:sz w:val="16"/>
                <w:szCs w:val="16"/>
              </w:rPr>
              <w:t xml:space="preserve"> + UTR</w:t>
            </w:r>
            <w:r>
              <w:rPr>
                <w:b/>
                <w:sz w:val="16"/>
                <w:szCs w:val="16"/>
              </w:rPr>
              <w:t xml:space="preserve">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97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280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141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141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184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Osnove geometrije ii prostorne analize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elektrotehnike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90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električnih uređaja i instalacija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85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68%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Zaštita električnih instalacija i trošila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80%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elektroenergetiku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110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73%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90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Instalacija ispitivanje električnih strojeva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250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195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78%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180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elektromehaničkih uređaja i instalacija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kućanskih uređaja i instalacija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85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68%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Transformatorska i rasklopna postrojenja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73%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43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47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1175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805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69%</w:t>
            </w: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170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635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370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1455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946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311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635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554</w:t>
            </w:r>
          </w:p>
        </w:tc>
      </w:tr>
    </w:tbl>
    <w:p w14:paraId="5F4A1488">
      <w:pPr>
        <w:spacing/>
        <w:rPr/>
      </w:pPr>
    </w:p>
    <w:p w14:paraId="149BEE89">
      <w:pPr>
        <w:spacing/>
        <w:rPr>
          <w:lang w:eastAsia="hr-HR"/>
        </w:rPr>
      </w:pPr>
    </w:p>
    <w:p w14:paraId="155BCFBF">
      <w:pPr>
        <w:pStyle w:val="Naslov1"/>
        <w:numPr>
          <w:ilvl w:val="0"/>
          <w:numId w:val="11"/>
        </w:numPr>
        <w:spacing w:before="100" w:beforeAutospacing="1" w:after="480"/>
        <w:rPr>
          <w:sz w:val="22"/>
          <w:szCs w:val="22"/>
        </w:rPr>
      </w:pPr>
      <w:bookmarkStart w:id="240" w:name="_Toc179578109"/>
      <w:bookmarkStart w:id="241" w:name="_Toc52269917"/>
      <w:bookmarkStart w:id="242" w:name="_Toc52271374"/>
      <w:bookmarkStart w:id="243" w:name="_Toc52271648"/>
      <w:bookmarkStart w:id="244" w:name="_Toc210485138"/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 </w:t>
      </w:r>
      <w:r>
        <w:rPr>
          <w:sz w:val="28"/>
          <w:szCs w:val="28"/>
        </w:rPr>
        <w:t xml:space="preserve">zanimanja elektromehaničar (jedinstveni mode</w:t>
      </w:r>
      <w:bookmarkStart w:id="245" w:name="_Toc179578110"/>
      <w:bookmarkEnd w:id="240"/>
      <w:r>
        <w:rPr>
          <w:sz w:val="28"/>
          <w:szCs w:val="28"/>
        </w:rPr>
        <w:t xml:space="preserve">l </w:t>
      </w:r>
      <w:r>
        <w:rPr>
          <w:sz w:val="28"/>
          <w:szCs w:val="28"/>
        </w:rPr>
        <w:t xml:space="preserve">obrazovanja)</w:t>
      </w:r>
      <w:bookmarkEnd w:id="226"/>
      <w:bookmarkEnd w:id="227"/>
      <w:bookmarkEnd w:id="228"/>
      <w:bookmarkEnd w:id="241"/>
      <w:bookmarkEnd w:id="242"/>
      <w:bookmarkEnd w:id="243"/>
      <w:bookmarkEnd w:id="244"/>
      <w:bookmarkEnd w:id="245"/>
      <w:r>
        <w:rPr>
          <w:sz w:val="28"/>
          <w:szCs w:val="28"/>
        </w:rPr>
        <w:t xml:space="preserve"> </w:t>
      </w:r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r>
        <w:rPr>
          <w:sz w:val="28"/>
          <w:szCs w:val="28"/>
        </w:rPr>
        <w:t xml:space="preserve">- </w:t>
      </w:r>
      <w:r>
        <w:rPr>
          <w:sz w:val="22"/>
          <w:szCs w:val="22"/>
        </w:rPr>
        <w:t xml:space="preserve">upisuju polaznici 3. razreda</w:t>
      </w:r>
      <w:r>
        <w:rPr>
          <w:sz w:val="22"/>
          <w:szCs w:val="22"/>
        </w:rPr>
        <w:t xml:space="preserve"> i prekvalifikacija u navedeno zanimanje</w:t>
      </w:r>
    </w:p>
    <w:tbl>
      <w:tblPr>
        <w:tblW w:w="8931" w:type="dxa"/>
        <w:tblInd w:w="-23" w:type="dxa"/>
        <w:tblBorders>
          <w:top w:val="double" w:color="ED7D31" w:sz="4" w:space="0"/>
          <w:left w:val="double" w:color="ED7D31" w:sz="4" w:space="0"/>
          <w:bottom w:val="double" w:color="ED7D31" w:sz="4" w:space="0"/>
          <w:right w:val="double" w:color="ED7D31" w:sz="4" w:space="0"/>
          <w:insideH w:val="double" w:color="ED7D31" w:sz="4" w:space="0"/>
          <w:insideV w:val="double" w:color="ED7D31" w:sz="4" w:space="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52"/>
        <w:gridCol w:w="1701"/>
        <w:gridCol w:w="1701"/>
        <w:gridCol w:w="1843"/>
      </w:tblGrid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bookmarkStart w:id="246" w:name="_Toc492894196"/>
            <w:bookmarkStart w:id="247" w:name="_Toc20425816"/>
            <w:bookmarkStart w:id="248" w:name="_Toc20425955"/>
            <w:bookmarkStart w:id="249" w:name="_Toc20426027"/>
            <w:bookmarkStart w:id="250" w:name="_Toc20426116"/>
            <w:bookmarkStart w:id="251" w:name="_Toc20426183"/>
            <w:bookmarkStart w:id="252" w:name="_Toc20853767"/>
            <w:bookmarkStart w:id="253" w:name="_Toc22651113"/>
            <w:bookmarkStart w:id="254" w:name="_Toc22655432"/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br.</w:t>
            </w:r>
          </w:p>
        </w:tc>
        <w:tc>
          <w:tcPr>
            <w:tcW w:type="dxa" w:w="3152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Nastavni predmet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)</w:t>
            </w:r>
          </w:p>
        </w:tc>
      </w:tr>
      <w:tr>
        <w:trPr/>
        <w:tc>
          <w:tcPr>
            <w:tcW w:type="dxa" w:w="8931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A) OPĆEOBRAZOVNI DIO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Hrvatski jezik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Strani jezik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3. 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Povijest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4.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Vjeronauk/Etika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Tjelesna i zdravstvena kultura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Politika i gospodarstvo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>
          <w:trHeight w:val="339" w:hRule="atLeast"/>
        </w:trPr>
        <w:tc>
          <w:tcPr>
            <w:tcW w:type="dxa" w:w="8931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B) STRUČNO-TEORIJSKI DIO</w:t>
            </w:r>
          </w:p>
        </w:tc>
      </w:tr>
      <w:tr>
        <w:trPr/>
        <w:tc>
          <w:tcPr>
            <w:tcW w:type="dxa" w:w="534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7.</w:t>
            </w:r>
          </w:p>
        </w:tc>
        <w:tc>
          <w:tcPr>
            <w:tcW w:type="dxa" w:w="3152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Osnove računalstva *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right w:val="thinThickSmallGap" w:color="C4591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8.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Tehničko crtanje i dokumentiranje *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 9.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Matematika u struci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10.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Elektrotehnika *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Električne instalacija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Električni strojevi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13.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Elektronika i upravljanje * 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14.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Električni uređaji *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16)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15.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Izborni dio: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TZK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Matematika u struci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Električni strojevi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/>
        <w:tc>
          <w:tcPr>
            <w:tcW w:type="dxa" w:w="3686"/>
            <w:gridSpan w:val="2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 K U P N O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301 (199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102)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300 (198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102)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272 (181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91)</w:t>
            </w:r>
          </w:p>
        </w:tc>
      </w:tr>
      <w:tr>
        <w:trPr/>
        <w:tc>
          <w:tcPr>
            <w:tcW w:type="dxa" w:w="8931"/>
            <w:gridSpan w:val="5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C) PRAKTIČNI DIO</w:t>
            </w:r>
          </w:p>
        </w:tc>
      </w:tr>
      <w:tr>
        <w:trPr>
          <w:trHeight w:val="217" w:hRule="atLeast"/>
        </w:trPr>
        <w:tc>
          <w:tcPr>
            <w:tcW w:type="dxa" w:w="534"/>
            <w:vMerge w:val="restart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16.</w:t>
            </w:r>
          </w:p>
        </w:tc>
        <w:tc>
          <w:tcPr>
            <w:tcW w:type="dxa" w:w="8397"/>
            <w:gridSpan w:val="4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Nastava u školi: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Osnove računalstva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-Tehničko crtanje i dokumentiranje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Elektrotehnika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Električne instalacije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Električni strojevi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Elektronika i upravljanje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Električni uređaji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Izborni dio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</w:t>
            </w:r>
          </w:p>
        </w:tc>
      </w:tr>
      <w:tr>
        <w:trPr>
          <w:trHeight w:val="211" w:hRule="atLeast"/>
        </w:trPr>
        <w:tc>
          <w:tcPr>
            <w:tcW w:type="dxa" w:w="534"/>
            <w:vMerge w:val="continue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Praktična nastava (najviše sati)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272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182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64</w:t>
            </w:r>
          </w:p>
        </w:tc>
      </w:tr>
      <w:tr>
        <w:trPr/>
        <w:tc>
          <w:tcPr>
            <w:tcW w:type="dxa" w:w="534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17.</w:t>
            </w:r>
          </w:p>
        </w:tc>
        <w:tc>
          <w:tcPr>
            <w:tcW w:type="dxa" w:w="315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Nastava u radnom procesu:- Praktična nastava (najmanje sati)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540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630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640</w:t>
            </w:r>
          </w:p>
        </w:tc>
      </w:tr>
      <w:tr>
        <w:trPr/>
        <w:tc>
          <w:tcPr>
            <w:tcW w:type="dxa" w:w="3686"/>
            <w:gridSpan w:val="2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 K U P N O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900</w:t>
            </w:r>
          </w:p>
        </w:tc>
        <w:tc>
          <w:tcPr>
            <w:tcW w:type="dxa" w:w="1701"/>
            <w:tcBorders>
              <w:left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900</w:t>
            </w:r>
          </w:p>
        </w:tc>
        <w:tc>
          <w:tcPr>
            <w:tcW w:type="dxa" w:w="1843"/>
            <w:tcBorders>
              <w:left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800</w:t>
            </w:r>
          </w:p>
        </w:tc>
      </w:tr>
      <w:tr>
        <w:trPr/>
        <w:tc>
          <w:tcPr>
            <w:tcW w:type="dxa" w:w="3686"/>
            <w:gridSpan w:val="2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 V E U K U P N O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1201</w:t>
            </w:r>
          </w:p>
        </w:tc>
        <w:tc>
          <w:tcPr>
            <w:tcW w:type="dxa" w:w="1701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200</w:t>
            </w:r>
          </w:p>
        </w:tc>
        <w:tc>
          <w:tcPr>
            <w:tcW w:type="dxa" w:w="1843"/>
            <w:tcBorders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1072</w:t>
            </w:r>
          </w:p>
        </w:tc>
      </w:tr>
    </w:tbl>
    <w:p w14:paraId="21BFFE85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lang w:eastAsia="hr-HR"/>
        </w:rPr>
        <w:t xml:space="preserve">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lang w:eastAsia="hr-HR"/>
        </w:rPr>
        <w:t xml:space="preserve"> skupne konzultacije,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lang w:eastAsia="hr-HR"/>
        </w:rPr>
        <w:t xml:space="preserve"> individualne konzultacije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*</w:t>
      </w:r>
      <w:r>
        <w:rPr>
          <w:rFonts w:ascii="Times New Roman" w:hAnsi="Times New Roman" w:eastAsia="Times New Roman" w:cs="Times New Roman"/>
          <w:lang w:eastAsia="hr-HR"/>
        </w:rPr>
        <w:t xml:space="preserve"> Predmeti s obveznim praktičnim/laboratorijskim vježbama (najmanji obvezi broj sati vježbi prikazan je u praktičnom dijelu programa).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Program pohađaju polaznici 2. i 3. razred te polaznici prekvalifikacije</w:t>
      </w:r>
      <w:r>
        <w:rPr>
          <w:rFonts w:ascii="Times New Roman" w:hAnsi="Times New Roman" w:eastAsia="Times New Roman" w:cs="Times New Roman"/>
          <w:lang w:eastAsia="hr-HR"/>
        </w:rPr>
        <w:t xml:space="preserve">.</w:t>
      </w:r>
    </w:p>
    <w:p w14:paraId="46EE659B">
      <w:pPr>
        <w:spacing w:before="100" w:beforeAutospacing="1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1FEC7E15">
      <w:pPr>
        <w:pStyle w:val="Naslov1"/>
        <w:numPr>
          <w:ilvl w:val="0"/>
          <w:numId w:val="11"/>
        </w:numPr>
        <w:spacing w:before="100" w:beforeAutospacing="1" w:after="480"/>
        <w:rPr>
          <w:sz w:val="22"/>
          <w:szCs w:val="22"/>
        </w:rPr>
      </w:pPr>
      <w:bookmarkStart w:id="255" w:name="_Toc52266919"/>
      <w:bookmarkStart w:id="256" w:name="_Toc52267418"/>
      <w:bookmarkStart w:id="257" w:name="_Toc52267535"/>
      <w:bookmarkStart w:id="258" w:name="_Toc52269918"/>
      <w:bookmarkStart w:id="259" w:name="_Toc52271375"/>
      <w:bookmarkStart w:id="260" w:name="_Toc52271649"/>
      <w:bookmarkStart w:id="261" w:name="_Toc179578111"/>
      <w:bookmarkStart w:id="262" w:name="_Toc52265445"/>
      <w:bookmarkStart w:id="263" w:name="_Toc52266111"/>
      <w:bookmarkStart w:id="264" w:name="_Toc210485139"/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 </w:t>
      </w:r>
      <w:r>
        <w:rPr>
          <w:sz w:val="28"/>
          <w:szCs w:val="28"/>
        </w:rPr>
        <w:t xml:space="preserve">zanimanja autoelektričar (jedinstveni model obrazovanja)</w:t>
      </w:r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2"/>
          <w:szCs w:val="22"/>
        </w:rPr>
        <w:t xml:space="preserve">upisuju polaznici 3. razreda</w:t>
      </w:r>
      <w:r>
        <w:rPr>
          <w:sz w:val="22"/>
          <w:szCs w:val="22"/>
        </w:rPr>
        <w:t xml:space="preserve"> i prekvalifikacija u navedeno zanimanje</w:t>
      </w:r>
    </w:p>
    <w:tbl>
      <w:tblPr>
        <w:tblW w:w="8939" w:type="dxa"/>
        <w:tblInd w:w="-23" w:type="dxa"/>
        <w:tblBorders>
          <w:top w:val="double" w:color="ED7D31" w:sz="4" w:space="0"/>
          <w:left w:val="double" w:color="ED7D31" w:sz="4" w:space="0"/>
          <w:bottom w:val="double" w:color="ED7D31" w:sz="4" w:space="0"/>
          <w:right w:val="double" w:color="ED7D31" w:sz="4" w:space="0"/>
          <w:insideH w:val="double" w:color="ED7D31" w:sz="4" w:space="0"/>
          <w:insideV w:val="double" w:color="ED7D31" w:sz="4" w:space="0"/>
        </w:tblBorders>
        <w:tblLayout w:type="fixed"/>
        <w:tblLook w:val="0000" w:firstRow="0" w:lastRow="0" w:firstColumn="0" w:lastColumn="0" w:noHBand="0" w:noVBand="0"/>
      </w:tblPr>
      <w:tblGrid>
        <w:gridCol w:w="31"/>
        <w:gridCol w:w="503"/>
        <w:gridCol w:w="31"/>
        <w:gridCol w:w="3121"/>
        <w:gridCol w:w="8"/>
        <w:gridCol w:w="1693"/>
        <w:gridCol w:w="8"/>
        <w:gridCol w:w="1693"/>
        <w:gridCol w:w="8"/>
        <w:gridCol w:w="1835"/>
        <w:gridCol w:w="8"/>
      </w:tblGrid>
      <w:tr>
        <w:trPr>
          <w:gridAfter w:val="1"/>
          <w:wAfter w:type="dxa" w:w="8"/>
        </w:trPr>
        <w:tc>
          <w:tcPr>
            <w:tcW w:type="dxa" w:w="534"/>
            <w:gridSpan w:val="2"/>
            <w:tcBorders>
              <w:top w:val="thinThickSmallGap" w:color="ED7D31" w:sz="24" w:space="0"/>
              <w:left w:val="thinThickSmallGap" w:color="ED7D3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br.</w:t>
            </w:r>
          </w:p>
        </w:tc>
        <w:tc>
          <w:tcPr>
            <w:tcW w:type="dxa" w:w="3152"/>
            <w:gridSpan w:val="2"/>
            <w:tcBorders>
              <w:top w:val="thinThickSmallGap" w:color="ED7D31" w:sz="24" w:space="0"/>
              <w:bottom w:val="thinThickSmallGap" w:color="ED7D3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Nastavni predmet</w:t>
            </w:r>
          </w:p>
        </w:tc>
        <w:tc>
          <w:tcPr>
            <w:tcW w:type="dxa" w:w="1701"/>
            <w:gridSpan w:val="2"/>
            <w:tcBorders>
              <w:top w:val="thinThickSmallGap" w:color="ED7D31" w:sz="24" w:space="0"/>
              <w:bottom w:val="thinThickSmallGap" w:color="ED7D3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)</w:t>
            </w:r>
          </w:p>
        </w:tc>
        <w:tc>
          <w:tcPr>
            <w:tcW w:type="dxa" w:w="1701"/>
            <w:gridSpan w:val="2"/>
            <w:tcBorders>
              <w:top w:val="thinThickSmallGap" w:color="ED7D31" w:sz="24" w:space="0"/>
              <w:bottom w:val="thinThickSmallGap" w:color="ED7D3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)</w:t>
            </w:r>
          </w:p>
        </w:tc>
        <w:tc>
          <w:tcPr>
            <w:tcW w:type="dxa" w:w="1843"/>
            <w:gridSpan w:val="2"/>
            <w:tcBorders>
              <w:top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FFF2CC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8908"/>
            <w:gridSpan w:val="10"/>
            <w:tcBorders>
              <w:top w:val="thinThickSmallGap" w:color="ED7D31" w:sz="24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E2EFD9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A) OPĆEOBRAZOVNI DIO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1.</w:t>
            </w:r>
          </w:p>
        </w:tc>
        <w:tc>
          <w:tcPr>
            <w:tcW w:type="dxa" w:w="3129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Hrvatski jezik</w:t>
            </w:r>
          </w:p>
        </w:tc>
        <w:tc>
          <w:tcPr>
            <w:tcW w:type="dxa" w:w="1701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701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843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Strani jezik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3. 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Povijest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4.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Vjeronauk/Etika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Tjelesna i zdravstvena kultura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Politika i gospodarstvo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8908"/>
            <w:gridSpan w:val="10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B) STRUČNO-TEORIJSKI DIO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7.</w:t>
            </w:r>
          </w:p>
        </w:tc>
        <w:tc>
          <w:tcPr>
            <w:tcW w:type="dxa" w:w="3129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Osnove računalstva *</w:t>
            </w:r>
          </w:p>
        </w:tc>
        <w:tc>
          <w:tcPr>
            <w:tcW w:type="dxa" w:w="1701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gridSpan w:val="2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8.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Tehničko crtanje i dokumentiranje *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9.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Matematika u struci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10.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Elektrotehnika *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11.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Automehanika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E6E6E6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Električni uređaji u vozilima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24 (16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8)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13.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Elektronika i upravljanje *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24 (16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8)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14.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Autoelektrika *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64 (42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22)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15.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Izborni dio: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TZK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Matematika u struci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24 (16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8)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24 (16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8)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3663"/>
            <w:gridSpan w:val="4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 K U P N O :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301 (199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102)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301 (199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102)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272 (181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91)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8908"/>
            <w:gridSpan w:val="10"/>
            <w:tcBorders>
              <w:top w:val="thinThickSmallGap" w:color="ED7D31" w:sz="24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E2EFD9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C) PRAKTIČNI DIO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restart"/>
            <w:tcBorders>
              <w:top w:val="thinThickSmallGap" w:color="ED7D31" w:sz="24" w:space="0"/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16.</w:t>
            </w:r>
          </w:p>
        </w:tc>
        <w:tc>
          <w:tcPr>
            <w:tcW w:type="dxa" w:w="8374"/>
            <w:gridSpan w:val="8"/>
            <w:tcBorders>
              <w:top w:val="thinThickSmallGap" w:color="ED7D31" w:sz="2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Nastava u školi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Laboratorijske vježbe **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Osnove računalstva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Tehničko crtanje i dokumentiranje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18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Elektrotehnika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Elektronika i upravljanje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35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Autoelektrika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17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16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Izborni dio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32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  <w:trHeight w:val="192" w:hRule="atLeast"/>
        </w:trPr>
        <w:tc>
          <w:tcPr>
            <w:tcW w:type="dxa" w:w="534"/>
            <w:gridSpan w:val="2"/>
            <w:vMerge w:val="continue"/>
            <w:tcBorders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Praktična nastava (najviše sati)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272</w:t>
            </w:r>
          </w:p>
        </w:tc>
        <w:tc>
          <w:tcPr>
            <w:tcW w:type="dxa" w:w="1701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182</w:t>
            </w:r>
          </w:p>
        </w:tc>
        <w:tc>
          <w:tcPr>
            <w:tcW w:type="dxa" w:w="1843"/>
            <w:gridSpan w:val="2"/>
            <w:tcBorders>
              <w:top w:val="double" w:color="ED7D31" w:sz="4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96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534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17.</w:t>
            </w:r>
          </w:p>
        </w:tc>
        <w:tc>
          <w:tcPr>
            <w:tcW w:type="dxa" w:w="3129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Nastava u radnom procesu: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- Praktična nastava (najmanje sati)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540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630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640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3663"/>
            <w:gridSpan w:val="4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UKUPNO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900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900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double" w:color="ED7D31" w:sz="6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800</w:t>
            </w:r>
          </w:p>
        </w:tc>
      </w:tr>
      <w:tr>
        <w:tblPrEx>
          <w:tblInd w:w="-23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>
          <w:gridBefore w:val="1"/>
          <w:wBefore w:type="dxa" w:w="31"/>
        </w:trPr>
        <w:tc>
          <w:tcPr>
            <w:tcW w:type="dxa" w:w="3663"/>
            <w:gridSpan w:val="4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SVEUKUPNO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1201</w:t>
            </w:r>
          </w:p>
        </w:tc>
        <w:tc>
          <w:tcPr>
            <w:tcW w:type="dxa" w:w="1701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  <w:shd w:fill="D0CECE" w:color="auto" w:val="clea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1201</w:t>
            </w:r>
          </w:p>
        </w:tc>
        <w:tc>
          <w:tcPr>
            <w:tcW w:type="dxa" w:w="1843"/>
            <w:gridSpan w:val="2"/>
            <w:tcBorders>
              <w:top w:val="double" w:color="ED7D31" w:sz="6" w:space="0"/>
              <w:left w:val="thinThickSmallGap" w:color="ED7D31" w:sz="24" w:space="0"/>
              <w:bottom w:val="thinThickSmallGap" w:color="ED7D31" w:sz="24" w:space="0"/>
              <w:right w:val="thinThickSmallGap" w:color="ED7D31" w:sz="2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1072</w:t>
            </w:r>
          </w:p>
        </w:tc>
      </w:tr>
    </w:tbl>
    <w:p w14:paraId="08786D54">
      <w:pPr>
        <w:spacing w:before="360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N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APOMENA</w:t>
      </w:r>
      <w:r>
        <w:rPr>
          <w:rFonts w:ascii="Times New Roman" w:hAnsi="Times New Roman" w:eastAsia="Times New Roman" w:cs="Times New Roman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lang w:eastAsia="hr-HR"/>
        </w:rPr>
        <w:t xml:space="preserve"> ukupni fond sati nastave, </w:t>
      </w:r>
      <w:r>
        <w:rPr>
          <w:rFonts w:ascii="Times New Roman" w:hAnsi="Times New Roman" w:eastAsia="Times New Roman" w:cs="Times New Roman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lang w:eastAsia="hr-HR"/>
        </w:rPr>
        <w:t xml:space="preserve"> skupne konzultacije, </w:t>
      </w:r>
      <w:r>
        <w:rPr>
          <w:rFonts w:ascii="Times New Roman" w:hAnsi="Times New Roman" w:eastAsia="Times New Roman" w:cs="Times New Roman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lang w:eastAsia="hr-HR"/>
        </w:rPr>
        <w:t xml:space="preserve">. </w:t>
      </w:r>
      <w:r>
        <w:rPr>
          <w:rFonts w:ascii="Times New Roman" w:hAnsi="Times New Roman" w:eastAsia="Times New Roman" w:cs="Times New Roman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lang w:eastAsia="hr-HR"/>
        </w:rPr>
        <w:t xml:space="preserve"> individualne konzultacije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*</w:t>
      </w:r>
      <w:r>
        <w:rPr>
          <w:rFonts w:ascii="Times New Roman" w:hAnsi="Times New Roman" w:eastAsia="Times New Roman" w:cs="Times New Roman"/>
          <w:lang w:eastAsia="hr-HR"/>
        </w:rPr>
        <w:t xml:space="preserve"> Predmeti s obveznim praktičnim</w:t>
      </w:r>
      <w:r>
        <w:rPr>
          <w:rFonts w:ascii="Times New Roman" w:hAnsi="Times New Roman" w:eastAsia="Times New Roman" w:cs="Times New Roman"/>
          <w:lang w:eastAsia="hr-HR"/>
        </w:rPr>
        <w:t xml:space="preserve"> / </w:t>
      </w:r>
      <w:r>
        <w:rPr>
          <w:rFonts w:ascii="Times New Roman" w:hAnsi="Times New Roman" w:eastAsia="Times New Roman" w:cs="Times New Roman"/>
          <w:lang w:eastAsia="hr-HR"/>
        </w:rPr>
        <w:t xml:space="preserve">laboratorijskim vježbama (najmanji obvezi broj sati vježbi prikazan je u praktičnom dijelu programa).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**</w:t>
      </w:r>
      <w:r>
        <w:rPr>
          <w:rFonts w:ascii="Times New Roman" w:hAnsi="Times New Roman" w:eastAsia="Times New Roman" w:cs="Times New Roman"/>
          <w:lang w:eastAsia="hr-HR"/>
        </w:rPr>
        <w:t xml:space="preserve"> Laboratorijske vježbe čine jedinstvenu cjelinu s predmetima istoga naziva iz stručno-teorijskoga dijela nastavnoga programa. Tome se mora prilagoditi i organizacija nastave tih predmeta kako bi se postigao očekivani rezultat u usvajanju potrebnih znanja, vještina i umijeća. To zahtijeva da nastavu u laboratoriju/praktikumu izvodi isti nastavnik koji izvodi ostale oblike nastave ovog predmeta. Nastavu je moguće organizirati i tako da s jednom skupinom učenika u praktikumu/laboratoriju radi profesor, a s drugom stručni učitelj, odnosno suradnik u nastavi s odgovarajućom stručnom spremom</w:t>
      </w:r>
      <w:r>
        <w:rPr>
          <w:rFonts w:ascii="Times New Roman" w:hAnsi="Times New Roman" w:eastAsia="Times New Roman" w:cs="Times New Roman"/>
          <w:lang w:eastAsia="hr-HR"/>
        </w:rPr>
        <w:t xml:space="preserve">.</w:t>
      </w:r>
    </w:p>
    <w:p w14:paraId="6843A73D">
      <w:pPr>
        <w:spacing w:before="360" w:after="48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 w14:paraId="4C731285">
      <w:pPr>
        <w:pStyle w:val="Naslov1"/>
        <w:numPr>
          <w:ilvl w:val="0"/>
          <w:numId w:val="11"/>
        </w:numPr>
        <w:spacing w:before="100" w:beforeAutospacing="1" w:after="100" w:afterAutospacing="1"/>
        <w:rPr>
          <w:rFonts w:eastAsia="Calibri"/>
        </w:rPr>
      </w:pPr>
      <w:bookmarkStart w:id="265" w:name="_Toc52266913"/>
      <w:bookmarkStart w:id="266" w:name="_Toc52267412"/>
      <w:bookmarkStart w:id="267" w:name="_Toc52267529"/>
      <w:bookmarkStart w:id="268" w:name="_Toc52269912"/>
      <w:bookmarkStart w:id="269" w:name="_Toc52271369"/>
      <w:bookmarkStart w:id="270" w:name="_Toc52271643"/>
      <w:bookmarkStart w:id="271" w:name="_Toc179578112"/>
      <w:bookmarkStart w:id="272" w:name="_Toc210485140"/>
      <w:bookmarkStart w:id="273" w:name="_Toc492894188"/>
      <w:bookmarkStart w:id="274" w:name="_Toc20425795"/>
      <w:bookmarkStart w:id="275" w:name="_Toc20425934"/>
      <w:bookmarkStart w:id="276" w:name="_Toc20426006"/>
      <w:bookmarkStart w:id="277" w:name="_Toc20426095"/>
      <w:bookmarkStart w:id="278" w:name="_Toc20426162"/>
      <w:bookmarkStart w:id="279" w:name="_Toc20853746"/>
      <w:bookmarkStart w:id="280" w:name="_Toc22651092"/>
      <w:bookmarkStart w:id="281" w:name="_Toc22655411"/>
      <w:bookmarkStart w:id="282" w:name="_Toc52265437"/>
      <w:bookmarkStart w:id="283" w:name="_Toc52266103"/>
      <w:r>
        <w:rPr>
          <w:sz w:val="28"/>
          <w:szCs w:val="28"/>
        </w:rPr>
        <w:t xml:space="preserve">S</w:t>
      </w:r>
      <w:r>
        <w:rPr>
          <w:rFonts w:eastAsia="Calibri"/>
          <w:sz w:val="28"/>
          <w:szCs w:val="28"/>
        </w:rPr>
        <w:t xml:space="preserve">trukovnom kurikulumu za stj</w:t>
      </w:r>
      <w:r>
        <w:rPr>
          <w:rFonts w:eastAsia="Calibri"/>
          <w:sz w:val="28"/>
          <w:szCs w:val="28"/>
        </w:rPr>
        <w:t xml:space="preserve">ecanje kvalifikacije prodavač/prodavačica – </w:t>
      </w:r>
      <w:r>
        <w:rPr>
          <w:rFonts w:eastAsia="Calibri"/>
        </w:rPr>
        <w:t xml:space="preserve">upisuju polaznici 1. i 2. razreda</w:t>
      </w: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Prodavač/</w:t>
            </w:r>
            <w:r>
              <w:rPr/>
              <w:t xml:space="preserve">ica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</w:t>
            </w:r>
            <w:r>
              <w:rPr>
                <w:b/>
                <w:sz w:val="16"/>
                <w:szCs w:val="16"/>
              </w:rPr>
              <w:t xml:space="preserve"> + UTR</w:t>
            </w:r>
            <w:r>
              <w:rPr>
                <w:b/>
                <w:sz w:val="16"/>
                <w:szCs w:val="16"/>
              </w:rPr>
              <w:t xml:space="preserve">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97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Povijest</w:t>
            </w:r>
          </w:p>
        </w:tc>
        <w:tc>
          <w:tcPr>
            <w:tcW w:type="dxa" w:w="661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16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176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176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224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Maloprodaja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40%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Prehrambena roba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40%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Radni procesi u nabavi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Osnove matematike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40%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Uvod u poslovanje prodavaonice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30%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Aranžiranje i estetsko oblikovanje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30%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Zapošljavanje u maloprodaji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Radne procedure u prodavaonici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14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245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45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200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  <w:vertAlign w:val="superscript"/>
              </w:rPr>
            </w:pPr>
            <w:r>
              <w:rPr>
                <w:b/>
              </w:rPr>
              <w:t xml:space="preserve">B2) Izborni modul</w:t>
            </w:r>
            <w:r>
              <w:rPr>
                <w:b/>
                <w:vertAlign w:val="superscript"/>
              </w:rPr>
              <w:t xml:space="preserve">*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Namještaj/</w:t>
            </w:r>
          </w:p>
          <w:p>
            <w:pPr>
              <w:spacing/>
              <w:rPr/>
            </w:pPr>
            <w:r>
              <w:rPr/>
              <w:t xml:space="preserve">Tekstil/</w:t>
            </w:r>
          </w:p>
          <w:p>
            <w:pPr>
              <w:spacing/>
              <w:rPr/>
            </w:pPr>
            <w:r>
              <w:rPr/>
              <w:t xml:space="preserve">Obuća i kožna galanterija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70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30%</w:t>
            </w:r>
          </w:p>
        </w:tc>
        <w:tc>
          <w:tcPr>
            <w:tcW w:type="dxa" w:w="643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  <w:shd w:fill="FFC000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 + B2)</w:t>
            </w:r>
          </w:p>
        </w:tc>
        <w:tc>
          <w:tcPr>
            <w:tcW w:type="dxa" w:w="661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44</w:t>
            </w:r>
          </w:p>
        </w:tc>
        <w:tc>
          <w:tcPr>
            <w:tcW w:type="dxa" w:w="899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1100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545</w:t>
            </w:r>
          </w:p>
        </w:tc>
        <w:tc>
          <w:tcPr>
            <w:tcW w:type="dxa" w:w="709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46%</w:t>
            </w:r>
          </w:p>
        </w:tc>
        <w:tc>
          <w:tcPr>
            <w:tcW w:type="dxa" w:w="643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230</w:t>
            </w:r>
          </w:p>
        </w:tc>
        <w:tc>
          <w:tcPr>
            <w:tcW w:type="dxa" w:w="574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315</w:t>
            </w:r>
          </w:p>
        </w:tc>
        <w:tc>
          <w:tcPr>
            <w:tcW w:type="dxa" w:w="1051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555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1450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721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406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315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779</w:t>
            </w:r>
          </w:p>
        </w:tc>
      </w:tr>
    </w:tbl>
    <w:p w14:paraId="5FBBEAB1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*</w:t>
      </w:r>
      <w:r>
        <w:rPr>
          <w:rFonts w:ascii="Times New Roman" w:hAnsi="Times New Roman" w:cs="Times New Roman"/>
          <w:sz w:val="20"/>
          <w:szCs w:val="20"/>
        </w:rPr>
        <w:t xml:space="preserve">Odabire se jedan izborni modul  </w:t>
      </w:r>
    </w:p>
    <w:p w14:paraId="3F987EA6">
      <w:pPr>
        <w:pStyle w:val="Odlomakpopisa"/>
        <w:spacing/>
        <w:ind w:left="420"/>
        <w:rPr/>
      </w:pP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709"/>
        <w:gridCol w:w="643"/>
        <w:gridCol w:w="574"/>
        <w:gridCol w:w="1051"/>
      </w:tblGrid>
      <w:tr>
        <w:trPr/>
        <w:tc>
          <w:tcPr>
            <w:tcW w:type="dxa" w:w="8643"/>
            <w:gridSpan w:val="8"/>
            <w:tcBorders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  <w:r>
              <w:rPr/>
              <w:t xml:space="preserve">Prodavač/</w:t>
            </w:r>
            <w:r>
              <w:rPr/>
              <w:t xml:space="preserve">ica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70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% godišnje (VPUP</w:t>
            </w:r>
            <w:r>
              <w:rPr>
                <w:b/>
                <w:sz w:val="16"/>
                <w:szCs w:val="16"/>
              </w:rPr>
              <w:t xml:space="preserve"> + UTR</w:t>
            </w:r>
            <w:r>
              <w:rPr>
                <w:b/>
                <w:sz w:val="16"/>
                <w:szCs w:val="16"/>
              </w:rPr>
              <w:t xml:space="preserve">)</w:t>
            </w:r>
          </w:p>
        </w:tc>
        <w:tc>
          <w:tcPr>
            <w:tcW w:type="dxa" w:w="643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574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05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50 %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97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51%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280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141</w:t>
            </w: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141</w:t>
            </w: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184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Strukovni moduli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Roba široke potrošnje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40%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30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Radni procesi u prodaji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50%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41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Geometrija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80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Poslovanje prodavaonice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60%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Prodajna komunikacija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24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600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240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70%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100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320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180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Poslovni procesi u prodavaonici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  <w:r>
              <w:rPr/>
              <w:t xml:space="preserve">30%</w:t>
            </w: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643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7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1051"/>
            <w:tcBorders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/>
            </w:pPr>
            <w:r>
              <w:rPr/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574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B2</w:t>
            </w:r>
            <w:r>
              <w:rPr>
                <w:b/>
              </w:rPr>
              <w:t xml:space="preserve">) Izborni strukovni modul</w:t>
            </w:r>
            <w:r>
              <w:rPr>
                <w:b/>
              </w:rPr>
              <w:t xml:space="preserve"> *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Uradi sam/</w:t>
            </w:r>
          </w:p>
          <w:p>
            <w:pPr>
              <w:spacing/>
              <w:rPr/>
            </w:pPr>
            <w:r>
              <w:rPr/>
              <w:t xml:space="preserve">Vrtlarenje/</w:t>
            </w:r>
          </w:p>
          <w:p>
            <w:pPr>
              <w:spacing/>
              <w:rPr/>
            </w:pPr>
            <w:r>
              <w:rPr/>
              <w:t xml:space="preserve">Uredski pribor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70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30%</w:t>
            </w:r>
          </w:p>
        </w:tc>
        <w:tc>
          <w:tcPr>
            <w:tcW w:type="dxa" w:w="643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574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  <w:shd w:fill="FFC000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 + B2)</w:t>
            </w:r>
          </w:p>
        </w:tc>
        <w:tc>
          <w:tcPr>
            <w:tcW w:type="dxa" w:w="661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47</w:t>
            </w:r>
          </w:p>
        </w:tc>
        <w:tc>
          <w:tcPr>
            <w:tcW w:type="dxa" w:w="899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1175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725</w:t>
            </w:r>
          </w:p>
        </w:tc>
        <w:tc>
          <w:tcPr>
            <w:tcW w:type="dxa" w:w="709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62%</w:t>
            </w:r>
          </w:p>
        </w:tc>
        <w:tc>
          <w:tcPr>
            <w:tcW w:type="dxa" w:w="643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215</w:t>
            </w:r>
          </w:p>
        </w:tc>
        <w:tc>
          <w:tcPr>
            <w:tcW w:type="dxa" w:w="574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510</w:t>
            </w:r>
          </w:p>
        </w:tc>
        <w:tc>
          <w:tcPr>
            <w:tcW w:type="dxa" w:w="1051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450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1455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866</w:t>
            </w:r>
          </w:p>
        </w:tc>
        <w:tc>
          <w:tcPr>
            <w:tcW w:type="dxa" w:w="70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643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356</w:t>
            </w:r>
          </w:p>
        </w:tc>
        <w:tc>
          <w:tcPr>
            <w:tcW w:type="dxa" w:w="574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510</w:t>
            </w:r>
          </w:p>
        </w:tc>
        <w:tc>
          <w:tcPr>
            <w:tcW w:type="dxa" w:w="105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634</w:t>
            </w:r>
          </w:p>
        </w:tc>
      </w:tr>
    </w:tbl>
    <w:p w14:paraId="73BCF5FD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Odabire se jedan izborni modul  </w:t>
      </w:r>
    </w:p>
    <w:p w14:paraId="37393C53">
      <w:pPr>
        <w:pStyle w:val="Naslov1"/>
        <w:spacing w:before="100" w:beforeAutospacing="1" w:after="480"/>
        <w:ind w:left="420"/>
        <w:rPr>
          <w:sz w:val="22"/>
          <w:szCs w:val="22"/>
        </w:rPr>
      </w:pPr>
    </w:p>
    <w:p w14:paraId="20C52DE2">
      <w:pPr>
        <w:pStyle w:val="Naslov1"/>
        <w:numPr>
          <w:ilvl w:val="0"/>
          <w:numId w:val="11"/>
        </w:numPr>
        <w:spacing w:before="100" w:beforeAutospacing="1" w:after="480"/>
        <w:rPr>
          <w:sz w:val="22"/>
          <w:szCs w:val="22"/>
        </w:rPr>
      </w:pPr>
      <w:r>
        <w:rPr>
          <w:sz w:val="28"/>
          <w:szCs w:val="28"/>
        </w:rPr>
        <w:t xml:space="preserve">Nastavni plan </w:t>
      </w:r>
      <w:r>
        <w:rPr>
          <w:sz w:val="28"/>
          <w:szCs w:val="28"/>
        </w:rPr>
        <w:t xml:space="preserve">i program </w:t>
      </w:r>
      <w:r>
        <w:rPr>
          <w:sz w:val="28"/>
          <w:szCs w:val="28"/>
        </w:rPr>
        <w:t xml:space="preserve">zanimanja prodavač</w:t>
      </w:r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r>
        <w:rPr>
          <w:sz w:val="22"/>
          <w:szCs w:val="22"/>
        </w:rPr>
        <w:t xml:space="preserve">upisuju polaznici 3. razreda</w:t>
      </w:r>
      <w:r>
        <w:rPr>
          <w:sz w:val="22"/>
          <w:szCs w:val="22"/>
        </w:rPr>
        <w:t xml:space="preserve"> i prekvalifikacija u navedeno zanimanje</w:t>
      </w:r>
    </w:p>
    <w:tbl>
      <w:tblPr>
        <w:tblpPr w:leftFromText="180" w:rightFromText="180" w:vertAnchor="text" w:horzAnchor="margin" w:tblpXSpec="center" w:tblpY="172"/>
        <w:tblW w:w="88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693"/>
        <w:gridCol w:w="1701"/>
        <w:gridCol w:w="1843"/>
        <w:gridCol w:w="1843"/>
      </w:tblGrid>
      <w:tr>
        <w:trPr>
          <w:jc w:val="center"/>
        </w:trPr>
        <w:tc>
          <w:tcPr>
            <w:tcW w:type="dxa" w:w="806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R.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br.</w:t>
            </w:r>
          </w:p>
        </w:tc>
        <w:tc>
          <w:tcPr>
            <w:tcW w:type="dxa" w:w="269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Nastavni predmet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III. razred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Uk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ik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1.</w:t>
            </w:r>
          </w:p>
        </w:tc>
        <w:tc>
          <w:tcPr>
            <w:tcW w:type="dxa" w:w="269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Hrvatski jezik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+ 18)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48 (32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16)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2.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Strani jezik (E,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NJ)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Povijest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4.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Geografija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Vjeronauk/Etika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Politika i gospodarstvo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7.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TZK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8.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Matematika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 (21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11)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9.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Osnove informatike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(23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STRUKOVNI DIO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10.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Nabavno poslovanje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T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+ 18)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11.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Poslovanje prodavaonice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 (12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12.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Poznavanje robe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+ 18)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V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T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+ 18)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16 (11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13.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Prodajno poslovanje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53 (35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+ 18)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 V 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15.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Prodajna komunikacija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T (12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(35 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0)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16.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Poslovna dokumentacija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17.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Osnove marketinga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T (12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shd w:val="clear" w:color="auto" w:fill="FFFFFF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shd w:val="clear" w:color="auto" w:fill="FFFFFF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shd w:val="clear" w:color="auto" w:fill="FFFFFF"/>
                <w:lang w:eastAsia="hr-HR"/>
              </w:rPr>
              <w:t xml:space="preserve">V 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9D9D9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Ponašanje potrošača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16 (11 + 5)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19.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Trgovačka praksa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140 PN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245 PN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FFFFFF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448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PN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IZBORNI DIO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21.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Kreativnost u poslovanju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Prezentacijske vještine 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T (12 + 6)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</w:t>
            </w: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>
        <w:trPr>
          <w:jc w:val="center"/>
        </w:trPr>
        <w:tc>
          <w:tcPr>
            <w:tcW w:type="dxa" w:w="806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.</w:t>
            </w:r>
          </w:p>
        </w:tc>
        <w:tc>
          <w:tcPr>
            <w:tcW w:type="dxa" w:w="269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Odnosi s kupcima</w:t>
            </w:r>
          </w:p>
        </w:tc>
        <w:tc>
          <w:tcPr>
            <w:tcW w:type="dxa" w:w="1701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1843"/>
            <w:tcBorders>
              <w:top w:val="double" w:color="ED7D31" w:sz="6" w:space="0"/>
              <w:left w:val="thinThickSmallGap" w:color="C45911" w:sz="24" w:space="0"/>
              <w:bottom w:val="double" w:color="ED7D31" w:sz="6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T (11 + 5) +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V </w:t>
            </w:r>
          </w:p>
        </w:tc>
      </w:tr>
      <w:tr>
        <w:trPr>
          <w:jc w:val="center"/>
        </w:trPr>
        <w:tc>
          <w:tcPr>
            <w:tcW w:type="dxa" w:w="806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type="dxa" w:w="269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UKUP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O </w:t>
            </w:r>
          </w:p>
        </w:tc>
        <w:tc>
          <w:tcPr>
            <w:tcW w:type="dxa" w:w="1701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633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(513 + 120)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D0CECE" w:color="auto" w:val="clea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755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(641 + 114)</w:t>
            </w:r>
          </w:p>
        </w:tc>
        <w:tc>
          <w:tcPr>
            <w:tcW w:type="dxa" w:w="1843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784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hr-HR"/>
              </w:rPr>
              <w:t xml:space="preserve">(704 + 80)</w:t>
            </w:r>
          </w:p>
        </w:tc>
      </w:tr>
    </w:tbl>
    <w:p w14:paraId="4C98F88D">
      <w:pPr>
        <w:spacing w:before="360" w:after="48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NAPOMENA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Uk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. = ukupni fond sati nastave,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sk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. = skupne konzultacije,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ik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. = individualn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konzultacije,  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=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teorijska nastava, V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= vježbe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, PN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= praktična nastava</w:t>
      </w:r>
      <w:bookmarkStart w:id="284" w:name="_Toc492894203"/>
      <w:bookmarkStart w:id="285" w:name="_Toc20425828"/>
      <w:bookmarkStart w:id="286" w:name="_Toc20425967"/>
      <w:bookmarkStart w:id="287" w:name="_Toc20426039"/>
      <w:bookmarkStart w:id="288" w:name="_Toc20426128"/>
      <w:bookmarkStart w:id="289" w:name="_Toc20426195"/>
      <w:bookmarkStart w:id="290" w:name="_Toc20853779"/>
      <w:bookmarkStart w:id="291" w:name="_Toc22651125"/>
      <w:bookmarkStart w:id="292" w:name="_Toc22655444"/>
      <w:bookmarkStart w:id="293" w:name="_Toc52265453"/>
      <w:bookmarkStart w:id="294" w:name="_Toc52266119"/>
      <w:bookmarkStart w:id="295" w:name="_Toc52266925"/>
      <w:bookmarkStart w:id="296" w:name="_Toc52267424"/>
      <w:bookmarkStart w:id="297" w:name="_Toc52267541"/>
      <w:bookmarkStart w:id="298" w:name="_Toc52269924"/>
      <w:bookmarkStart w:id="299" w:name="_Toc52271381"/>
      <w:bookmarkStart w:id="300" w:name="_Toc52271655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Program upisuju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polaznici 2. i 3. razred te polaznici prekvalifikacije.</w:t>
      </w:r>
    </w:p>
    <w:p w14:paraId="09813E42">
      <w:pPr>
        <w:pStyle w:val="Naslov1"/>
        <w:numPr>
          <w:ilvl w:val="0"/>
          <w:numId w:val="11"/>
        </w:numPr>
        <w:spacing w:before="100" w:beforeAutospacing="1" w:after="100" w:afterAutospacing="1"/>
        <w:rPr>
          <w:bCs/>
          <w:sz w:val="28"/>
          <w:szCs w:val="28"/>
        </w:rPr>
      </w:pPr>
      <w:bookmarkStart w:id="301" w:name="_Toc210485141"/>
      <w:r>
        <w:rPr>
          <w:bCs/>
          <w:sz w:val="28"/>
          <w:szCs w:val="28"/>
        </w:rPr>
        <w:t xml:space="preserve">Nastavni plan </w:t>
      </w:r>
      <w:r>
        <w:rPr>
          <w:bCs/>
          <w:sz w:val="28"/>
          <w:szCs w:val="28"/>
        </w:rPr>
        <w:t xml:space="preserve">zanimanja </w:t>
      </w:r>
      <w:r>
        <w:rPr>
          <w:bCs/>
          <w:sz w:val="28"/>
          <w:szCs w:val="28"/>
        </w:rPr>
        <w:t xml:space="preserve">prodavač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prema dualnom modelu obrazovanja</w:t>
      </w:r>
      <w:bookmarkEnd w:id="301"/>
    </w:p>
    <w:tbl>
      <w:tblPr>
        <w:tblStyle w:val="Reetkatablice"/>
        <w:tblpPr w:leftFromText="180" w:rightFromText="180" w:vertAnchor="text" w:tblpY="1"/>
        <w:tblOverlap w:val="never"/>
        <w:tblW w:w="8862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850"/>
        <w:gridCol w:w="1057"/>
        <w:gridCol w:w="1276"/>
        <w:gridCol w:w="13"/>
      </w:tblGrid>
      <w:tr>
        <w:trPr/>
        <w:tc>
          <w:tcPr>
            <w:tcW w:type="dxa" w:w="8862"/>
            <w:gridSpan w:val="8"/>
            <w:tcBorders/>
          </w:tcPr>
          <w:p>
            <w:pPr>
              <w:spacing/>
              <w:jc w:val="center"/>
              <w:rPr/>
            </w:pPr>
            <w:r>
              <w:rPr/>
              <w:t xml:space="preserve">Prodavač/</w:t>
            </w:r>
            <w:r>
              <w:rPr/>
              <w:t xml:space="preserve">ica</w:t>
            </w:r>
            <w:r>
              <w:rPr/>
              <w:t xml:space="preserve"> prema dualnom modelu obrazovanja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748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. razred</w:t>
            </w:r>
          </w:p>
        </w:tc>
      </w:tr>
      <w:tr>
        <w:trPr>
          <w:gridAfter w:val="1"/>
          <w:wAfter w:type="dxa" w:w="13"/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850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1057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276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52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17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17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17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280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142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142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138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</w:t>
            </w:r>
            <w:r>
              <w:rPr>
                <w:b/>
              </w:rPr>
              <w:t xml:space="preserve">Strukovni dio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50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7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276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Osnove trgovine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Prehrambena roba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33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72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Nabavno poslovanje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245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123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78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45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177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BDD6EE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B2) Učenje temeljeno na radu</w:t>
            </w:r>
          </w:p>
        </w:tc>
        <w:tc>
          <w:tcPr>
            <w:tcW w:type="dxa" w:w="661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50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7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276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Radne pr</w:t>
            </w:r>
            <w:r>
              <w:rPr/>
              <w:t xml:space="preserve">ocedure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Aranžiranje i estetsko oblikovanje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41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Komunikacija u prodavaonici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B2)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10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210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150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125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100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  <w:vertAlign w:val="superscript"/>
              </w:rPr>
            </w:pPr>
            <w:r>
              <w:rPr>
                <w:b/>
              </w:rPr>
              <w:t xml:space="preserve">B3) Izborni modul</w:t>
            </w:r>
            <w:r>
              <w:rPr>
                <w:b/>
                <w:vertAlign w:val="superscript"/>
              </w:rPr>
              <w:t xml:space="preserve">*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50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7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276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Kućni namještaj/</w:t>
            </w:r>
          </w:p>
          <w:p>
            <w:pPr>
              <w:spacing/>
              <w:rPr/>
            </w:pPr>
            <w:r>
              <w:rPr/>
              <w:t xml:space="preserve">Tekstil/</w:t>
            </w:r>
          </w:p>
          <w:p>
            <w:pPr>
              <w:spacing/>
              <w:rPr/>
            </w:pPr>
            <w:r>
              <w:rPr/>
              <w:t xml:space="preserve">Obuća i kožna galanterija/</w:t>
            </w:r>
          </w:p>
          <w:p>
            <w:pPr>
              <w:spacing/>
              <w:rPr/>
            </w:pPr>
            <w:r>
              <w:rPr/>
              <w:t xml:space="preserve">Uradi sam/</w:t>
            </w:r>
          </w:p>
          <w:p>
            <w:pPr>
              <w:spacing/>
              <w:rPr/>
            </w:pPr>
            <w:r>
              <w:rPr/>
              <w:t xml:space="preserve">Vrtlarenje/</w:t>
            </w:r>
          </w:p>
          <w:p>
            <w:pPr>
              <w:spacing/>
              <w:rPr/>
            </w:pPr>
            <w:r>
              <w:rPr/>
              <w:t xml:space="preserve">Školski i uredski pribor/</w:t>
            </w:r>
          </w:p>
          <w:p>
            <w:pPr>
              <w:spacing/>
              <w:rPr/>
            </w:pPr>
            <w:r>
              <w:rPr/>
              <w:t xml:space="preserve">Kućanski aparati/</w:t>
            </w:r>
          </w:p>
          <w:p>
            <w:pPr>
              <w:spacing/>
              <w:rPr/>
            </w:pPr>
            <w:r>
              <w:rPr/>
              <w:t xml:space="preserve">Elektronika/</w:t>
            </w:r>
          </w:p>
          <w:p>
            <w:pPr>
              <w:spacing/>
              <w:rPr/>
            </w:pPr>
            <w:r>
              <w:rPr/>
              <w:t xml:space="preserve">Automobili i </w:t>
            </w:r>
            <w:r>
              <w:rPr/>
              <w:t xml:space="preserve">autodijelovi</w:t>
            </w:r>
            <w:r>
              <w:rPr/>
              <w:t xml:space="preserve">/</w:t>
            </w:r>
          </w:p>
          <w:p>
            <w:pPr>
              <w:spacing/>
              <w:rPr/>
            </w:pPr>
            <w:r>
              <w:rPr/>
              <w:t xml:space="preserve">Željezarija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E599" w:color="auto" w:val="clear"/>
          </w:tcPr>
          <w:p>
            <w:pPr>
              <w:spacing/>
              <w:rPr/>
            </w:pPr>
            <w:r>
              <w:rPr/>
              <w:t xml:space="preserve">UKUPNO B3)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60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C000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 + B2) + B3)</w:t>
            </w:r>
          </w:p>
        </w:tc>
        <w:tc>
          <w:tcPr>
            <w:tcW w:type="dxa" w:w="661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28</w:t>
            </w:r>
          </w:p>
        </w:tc>
        <w:tc>
          <w:tcPr>
            <w:tcW w:type="dxa" w:w="899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525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333</w:t>
            </w:r>
          </w:p>
        </w:tc>
        <w:tc>
          <w:tcPr>
            <w:tcW w:type="dxa" w:w="850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113</w:t>
            </w:r>
          </w:p>
        </w:tc>
        <w:tc>
          <w:tcPr>
            <w:tcW w:type="dxa" w:w="1057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220</w:t>
            </w:r>
          </w:p>
        </w:tc>
        <w:tc>
          <w:tcPr>
            <w:tcW w:type="dxa" w:w="1276"/>
            <w:tcBorders/>
            <w:shd w:fill="FFC000" w:color="auto" w:val="clear"/>
          </w:tcPr>
          <w:p>
            <w:pPr>
              <w:spacing/>
              <w:jc w:val="center"/>
              <w:rPr/>
            </w:pPr>
            <w:r>
              <w:rPr/>
              <w:t xml:space="preserve">292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 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30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805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475</w:t>
            </w:r>
          </w:p>
        </w:tc>
        <w:tc>
          <w:tcPr>
            <w:tcW w:type="dxa" w:w="850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255</w:t>
            </w:r>
          </w:p>
        </w:tc>
        <w:tc>
          <w:tcPr>
            <w:tcW w:type="dxa" w:w="1057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220</w:t>
            </w:r>
          </w:p>
        </w:tc>
        <w:tc>
          <w:tcPr>
            <w:tcW w:type="dxa" w:w="1276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430</w:t>
            </w:r>
          </w:p>
        </w:tc>
      </w:tr>
    </w:tbl>
    <w:p w14:paraId="79088D32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  <w:r>
        <w:rPr>
          <w:rFonts w:ascii="MinionPro-Cn" w:hAnsi="MinionPro-Cn" w:cs="MinionPro-Cn"/>
          <w:sz w:val="16"/>
          <w:szCs w:val="16"/>
        </w:rPr>
        <w:t xml:space="preserve">*</w:t>
      </w:r>
      <w:r>
        <w:rPr>
          <w:rFonts w:ascii="MinionPro-Cn" w:hAnsi="MinionPro-Cn" w:cs="MinionPro-C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Odabiru se dva izborna modula</w:t>
      </w:r>
    </w:p>
    <w:p w14:paraId="4B44E008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</w:p>
    <w:p w14:paraId="058F1F51">
      <w:pPr>
        <w:pStyle w:val="Odlomakpopisa"/>
        <w:spacing/>
        <w:ind w:left="420"/>
        <w:rPr/>
      </w:pPr>
      <w:r>
        <w:rPr>
          <w:b/>
        </w:rPr>
        <w:t xml:space="preserve">NAPOMENA: Iste izborne module nije moguće birati uzastopno iz godine u godinu niti ponavljati.</w:t>
      </w:r>
    </w:p>
    <w:p w14:paraId="21EE3768">
      <w:pPr>
        <w:pStyle w:val="Odlomakpopisa"/>
        <w:spacing/>
        <w:ind w:left="420"/>
        <w:rPr/>
      </w:pPr>
    </w:p>
    <w:tbl>
      <w:tblPr>
        <w:tblStyle w:val="Reetkatablice"/>
        <w:tblpPr w:leftFromText="180" w:rightFromText="180" w:vertAnchor="text" w:tblpY="1"/>
        <w:tblOverlap w:val="never"/>
        <w:tblW w:w="8643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992"/>
        <w:gridCol w:w="708"/>
        <w:gridCol w:w="1277"/>
      </w:tblGrid>
      <w:tr>
        <w:trPr/>
        <w:tc>
          <w:tcPr>
            <w:tcW w:type="dxa" w:w="8643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Prodavač/</w:t>
            </w:r>
            <w:r>
              <w:rPr/>
              <w:t xml:space="preserve">ica</w:t>
            </w:r>
            <w:r>
              <w:rPr/>
              <w:t xml:space="preserve"> prema dualnom modelu obrazovanja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529"/>
            <w:gridSpan w:val="6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. razred</w:t>
            </w:r>
          </w:p>
        </w:tc>
      </w:tr>
      <w:tr>
        <w:trPr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708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277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105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53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52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17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17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17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280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142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142</w:t>
            </w:r>
          </w:p>
        </w:tc>
        <w:tc>
          <w:tcPr>
            <w:tcW w:type="dxa" w:w="708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27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138</w:t>
            </w:r>
          </w:p>
        </w:tc>
      </w:tr>
      <w:tr>
        <w:trPr/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</w:t>
            </w:r>
            <w:r>
              <w:rPr>
                <w:b/>
              </w:rPr>
              <w:t xml:space="preserve">Strukovni dio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8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277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Neprehrambena roba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65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Prodajno poslovanje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Matematika u prodaji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Informatika u prodaji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708"/>
            <w:tcBorders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277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210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75</w:t>
            </w:r>
          </w:p>
        </w:tc>
        <w:tc>
          <w:tcPr>
            <w:tcW w:type="dxa" w:w="708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45</w:t>
            </w:r>
          </w:p>
        </w:tc>
        <w:tc>
          <w:tcPr>
            <w:tcW w:type="dxa" w:w="127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180</w:t>
            </w:r>
          </w:p>
        </w:tc>
      </w:tr>
      <w:tr>
        <w:trPr/>
        <w:tc>
          <w:tcPr>
            <w:tcW w:type="dxa" w:w="3114"/>
            <w:tcBorders/>
            <w:shd w:fill="BDD6EE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B2) Učenje temeljeno na radu</w:t>
            </w:r>
          </w:p>
        </w:tc>
        <w:tc>
          <w:tcPr>
            <w:tcW w:type="dxa" w:w="661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708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277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/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Priprema prodaje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708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127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</w:tr>
      <w:tr>
        <w:trPr/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Zaključivanje prodaje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708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27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</w:tr>
      <w:tr>
        <w:trPr/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Komunikacija u prodavaonici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70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47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708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37</w:t>
            </w:r>
          </w:p>
        </w:tc>
        <w:tc>
          <w:tcPr>
            <w:tcW w:type="dxa" w:w="127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28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B2)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175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122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</w:t>
            </w:r>
          </w:p>
        </w:tc>
        <w:tc>
          <w:tcPr>
            <w:tcW w:type="dxa" w:w="708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97</w:t>
            </w:r>
          </w:p>
        </w:tc>
        <w:tc>
          <w:tcPr>
            <w:tcW w:type="dxa" w:w="127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73</w:t>
            </w:r>
          </w:p>
        </w:tc>
      </w:tr>
      <w:tr>
        <w:trPr/>
        <w:tc>
          <w:tcPr>
            <w:tcW w:type="dxa" w:w="3114"/>
            <w:tcBorders/>
            <w:shd w:fill="BDD6EE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B3) Izborni </w:t>
            </w:r>
            <w:r>
              <w:rPr>
                <w:b/>
              </w:rPr>
              <w:t xml:space="preserve"> modul</w:t>
            </w:r>
            <w:r>
              <w:rPr>
                <w:b/>
              </w:rPr>
              <w:t xml:space="preserve"> *</w:t>
            </w:r>
          </w:p>
        </w:tc>
        <w:tc>
          <w:tcPr>
            <w:tcW w:type="dxa" w:w="661"/>
            <w:tcBorders/>
            <w:shd w:fill="BDD6EE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DD6EE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DD6EE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DD6EE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708"/>
            <w:tcBorders/>
            <w:shd w:fill="BDD6EE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277"/>
            <w:tcBorders/>
            <w:shd w:fill="BDD6EE" w:color="auto" w:val="clear"/>
          </w:tcPr>
          <w:p>
            <w:pPr>
              <w:spacing/>
              <w:jc w:val="center"/>
              <w:rPr/>
            </w:pP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Kućni namještaj/</w:t>
            </w:r>
          </w:p>
          <w:p>
            <w:pPr>
              <w:spacing/>
              <w:rPr/>
            </w:pPr>
            <w:r>
              <w:rPr/>
              <w:t xml:space="preserve">Tekstil/</w:t>
            </w:r>
          </w:p>
          <w:p>
            <w:pPr>
              <w:spacing/>
              <w:rPr/>
            </w:pPr>
            <w:r>
              <w:rPr/>
              <w:t xml:space="preserve">Obuća i kožna galanterija/</w:t>
            </w:r>
          </w:p>
          <w:p>
            <w:pPr>
              <w:spacing/>
              <w:rPr/>
            </w:pPr>
            <w:r>
              <w:rPr/>
              <w:t xml:space="preserve">Uradi sam/</w:t>
            </w:r>
          </w:p>
          <w:p>
            <w:pPr>
              <w:spacing/>
              <w:rPr/>
            </w:pPr>
            <w:r>
              <w:rPr/>
              <w:t xml:space="preserve">Vrtlarenje/</w:t>
            </w:r>
          </w:p>
          <w:p>
            <w:pPr>
              <w:spacing/>
              <w:rPr/>
            </w:pPr>
            <w:r>
              <w:rPr/>
              <w:t xml:space="preserve">Školski i uredski pribor/</w:t>
            </w:r>
          </w:p>
          <w:p>
            <w:pPr>
              <w:spacing/>
              <w:rPr/>
            </w:pPr>
            <w:r>
              <w:rPr/>
              <w:t xml:space="preserve">Kućanski aparati/</w:t>
            </w:r>
          </w:p>
          <w:p>
            <w:pPr>
              <w:spacing/>
              <w:rPr/>
            </w:pPr>
            <w:r>
              <w:rPr/>
              <w:t xml:space="preserve">Elektronika/</w:t>
            </w:r>
          </w:p>
          <w:p>
            <w:pPr>
              <w:spacing/>
              <w:rPr/>
            </w:pPr>
            <w:r>
              <w:rPr/>
              <w:t xml:space="preserve">Automobili i </w:t>
            </w:r>
            <w:r>
              <w:rPr/>
              <w:t xml:space="preserve">autodijelovi</w:t>
            </w:r>
            <w:r>
              <w:rPr/>
              <w:t xml:space="preserve">/</w:t>
            </w:r>
          </w:p>
          <w:p>
            <w:pPr>
              <w:spacing/>
              <w:rPr/>
            </w:pPr>
            <w:r>
              <w:rPr/>
              <w:t xml:space="preserve">Željezarija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708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27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B3)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75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15</w:t>
            </w:r>
          </w:p>
        </w:tc>
        <w:tc>
          <w:tcPr>
            <w:tcW w:type="dxa" w:w="708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277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50</w:t>
            </w:r>
          </w:p>
        </w:tc>
      </w:tr>
      <w:tr>
        <w:trPr/>
        <w:tc>
          <w:tcPr>
            <w:tcW w:type="dxa" w:w="3114"/>
            <w:tcBorders/>
            <w:shd w:fill="FFC000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 + B2) + B3)</w:t>
            </w:r>
          </w:p>
        </w:tc>
        <w:tc>
          <w:tcPr>
            <w:tcW w:type="dxa" w:w="661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22</w:t>
            </w:r>
          </w:p>
        </w:tc>
        <w:tc>
          <w:tcPr>
            <w:tcW w:type="dxa" w:w="899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460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267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115</w:t>
            </w:r>
          </w:p>
        </w:tc>
        <w:tc>
          <w:tcPr>
            <w:tcW w:type="dxa" w:w="708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152</w:t>
            </w:r>
          </w:p>
        </w:tc>
        <w:tc>
          <w:tcPr>
            <w:tcW w:type="dxa" w:w="1277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303</w:t>
            </w:r>
          </w:p>
        </w:tc>
      </w:tr>
      <w:tr>
        <w:trPr/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34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740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409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257</w:t>
            </w:r>
          </w:p>
        </w:tc>
        <w:tc>
          <w:tcPr>
            <w:tcW w:type="dxa" w:w="708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152</w:t>
            </w:r>
          </w:p>
        </w:tc>
        <w:tc>
          <w:tcPr>
            <w:tcW w:type="dxa" w:w="1277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441</w:t>
            </w:r>
          </w:p>
        </w:tc>
      </w:tr>
    </w:tbl>
    <w:p w14:paraId="7AA032D3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Odabire se jedan izborni modul  </w:t>
      </w:r>
    </w:p>
    <w:p w14:paraId="68127769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</w:p>
    <w:p w14:paraId="778E1123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</w:p>
    <w:p w14:paraId="69FF9651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  <w:r>
        <w:rPr>
          <w:b/>
        </w:rPr>
        <w:t xml:space="preserve">NAPOMENA: Iste izborne module nije moguće birati uzastopno iz godine u godinu niti ponavljati.</w:t>
      </w:r>
    </w:p>
    <w:p w14:paraId="05228801">
      <w:pPr>
        <w:pStyle w:val="Odlomakpopisa"/>
        <w:spacing/>
        <w:ind w:left="420"/>
        <w:rPr/>
      </w:pPr>
    </w:p>
    <w:p w14:paraId="49778BDD">
      <w:pPr>
        <w:pStyle w:val="Odlomakpopisa"/>
        <w:spacing/>
        <w:ind w:left="420"/>
        <w:rPr/>
      </w:pPr>
    </w:p>
    <w:tbl>
      <w:tblPr>
        <w:tblStyle w:val="Reetkatablice"/>
        <w:tblpPr w:leftFromText="180" w:rightFromText="180" w:vertAnchor="text" w:tblpY="1"/>
        <w:tblOverlap w:val="never"/>
        <w:tblW w:w="8862" w:type="dxa"/>
        <w:tblLook w:val="04A0" w:firstRow="1" w:lastRow="0" w:firstColumn="1" w:lastColumn="0" w:noHBand="0" w:noVBand="1"/>
      </w:tblPr>
      <w:tblGrid>
        <w:gridCol w:w="3114"/>
        <w:gridCol w:w="661"/>
        <w:gridCol w:w="899"/>
        <w:gridCol w:w="992"/>
        <w:gridCol w:w="850"/>
        <w:gridCol w:w="1057"/>
        <w:gridCol w:w="1276"/>
        <w:gridCol w:w="13"/>
      </w:tblGrid>
      <w:tr>
        <w:trPr/>
        <w:tc>
          <w:tcPr>
            <w:tcW w:type="dxa" w:w="8862"/>
            <w:gridSpan w:val="8"/>
            <w:tcBorders/>
          </w:tcPr>
          <w:p>
            <w:pPr>
              <w:spacing/>
              <w:jc w:val="center"/>
              <w:rPr/>
            </w:pPr>
            <w:r>
              <w:rPr/>
              <w:t xml:space="preserve">Prodavač/</w:t>
            </w:r>
            <w:r>
              <w:rPr/>
              <w:t xml:space="preserve">ica</w:t>
            </w:r>
            <w:r>
              <w:rPr/>
              <w:t xml:space="preserve"> prema dualnom modelu obrazovanja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5748"/>
            <w:gridSpan w:val="7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  <w:r>
              <w:rPr/>
              <w:t xml:space="preserve">. razred</w:t>
            </w:r>
          </w:p>
        </w:tc>
      </w:tr>
      <w:tr>
        <w:trPr>
          <w:gridAfter w:val="1"/>
          <w:wAfter w:type="dxa" w:w="13"/>
          <w:cantSplit/>
          <w:trHeight w:val="1460" w:hRule="atLeast"/>
        </w:trPr>
        <w:tc>
          <w:tcPr>
            <w:tcW w:type="dxa" w:w="3114"/>
            <w:tcBorders/>
            <w:shd w:fill="B4C6E7" w:color="auto" w:val="clear"/>
            <w:vAlign w:val="center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 Općeobrazovni predmeti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CVET</w:t>
            </w:r>
          </w:p>
        </w:tc>
        <w:tc>
          <w:tcPr>
            <w:tcW w:type="dxa" w:w="899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Redovno obrazovanje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992"/>
            <w:tcBorders/>
            <w:textDirection w:val="btLr"/>
          </w:tcPr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Obrazovanje odraslih </w:t>
            </w:r>
          </w:p>
          <w:p>
            <w:pPr>
              <w:spacing/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broj sati godišnje</w:t>
            </w:r>
          </w:p>
        </w:tc>
        <w:tc>
          <w:tcPr>
            <w:tcW w:type="dxa" w:w="850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VPUP</w:t>
            </w:r>
          </w:p>
        </w:tc>
        <w:tc>
          <w:tcPr>
            <w:tcW w:type="dxa" w:w="1057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UTR</w:t>
            </w:r>
          </w:p>
        </w:tc>
        <w:tc>
          <w:tcPr>
            <w:tcW w:type="dxa" w:w="1276"/>
            <w:tcBorders/>
            <w:vAlign w:val="center"/>
          </w:tcPr>
          <w:p>
            <w:pPr>
              <w: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SAP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Hrvatski jezik</w:t>
            </w:r>
          </w:p>
        </w:tc>
        <w:tc>
          <w:tcPr>
            <w:tcW w:type="dxa" w:w="661"/>
            <w:tcBorders>
              <w:bottom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96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48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48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48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Strani jezik I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64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Matematika</w:t>
            </w:r>
          </w:p>
        </w:tc>
        <w:tc>
          <w:tcPr>
            <w:tcW w:type="dxa" w:w="661"/>
            <w:tcBorders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spacing w:line="0" w:lineRule="atLeast"/>
              <w:ind w:left="60" w:hanging="37"/>
              <w:rPr/>
            </w:pPr>
            <w:r>
              <w:rPr/>
              <w:t xml:space="preserve">Tjelesna i</w:t>
            </w:r>
            <w:r>
              <w:rPr>
                <w:w w:val="86"/>
              </w:rPr>
              <w:t xml:space="preserve"> zdravstvena kultura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</w:tcBorders>
            <w:vAlign w:val="bottom"/>
          </w:tcPr>
          <w:p>
            <w:pPr>
              <w:spacing w:line="0" w:lineRule="atLeast"/>
              <w:rPr/>
            </w:pPr>
            <w:r>
              <w:rPr/>
              <w:t xml:space="preserve">Vjeronauk/Etika</w:t>
            </w:r>
          </w:p>
        </w:tc>
        <w:tc>
          <w:tcPr>
            <w:tcW w:type="dxa" w:w="661"/>
            <w:tcBorders>
              <w:right w:val="single" w:color="auto" w:sz="8" w:space="0"/>
            </w:tcBorders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0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16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FFE599" w:color="auto" w:val="clear"/>
            <w:vAlign w:val="bottom"/>
          </w:tcPr>
          <w:p>
            <w:pPr>
              <w:spacing w:line="0" w:lineRule="atLeast"/>
              <w:ind w:left="60"/>
              <w:rPr/>
            </w:pPr>
            <w:r>
              <w:rPr>
                <w:b/>
              </w:rPr>
              <w:t xml:space="preserve">UKUPNO</w:t>
            </w:r>
            <w:r>
              <w:rPr>
                <w:b/>
              </w:rPr>
              <w:t xml:space="preserve"> A)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256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128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128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0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128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>
              <w:left w:val="single" w:color="auto" w:sz="8" w:space="0"/>
              <w:bottom w:val="single" w:color="auto" w:sz="8" w:space="0"/>
            </w:tcBorders>
            <w:shd w:fill="B4C6E7" w:color="auto" w:val="clear"/>
            <w:vAlign w:val="bottom"/>
          </w:tcPr>
          <w:p>
            <w:pPr>
              <w:spacing w:line="0" w:lineRule="atLeast"/>
              <w:ind w:left="60"/>
              <w:rPr>
                <w:b/>
              </w:rPr>
            </w:pPr>
            <w:r>
              <w:rPr>
                <w:b/>
              </w:rPr>
              <w:t xml:space="preserve">B</w:t>
            </w: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) </w:t>
            </w:r>
            <w:r>
              <w:rPr>
                <w:b/>
              </w:rPr>
              <w:t xml:space="preserve">Strukovni dio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50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7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276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 w:line="0" w:lineRule="atLeast"/>
              <w:ind w:left="60"/>
              <w:rPr/>
            </w:pPr>
            <w:r>
              <w:rPr/>
              <w:t xml:space="preserve">Neprehrambena roba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64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18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14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68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Prodajno poslovanje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64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12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43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Matematika u prodaji</w:t>
            </w:r>
          </w:p>
        </w:tc>
        <w:tc>
          <w:tcPr>
            <w:tcW w:type="dxa" w:w="661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899"/>
            <w:tcBorders/>
          </w:tcPr>
          <w:p>
            <w:pPr>
              <w:spacing/>
              <w:jc w:val="center"/>
              <w:rPr/>
            </w:pPr>
            <w:r>
              <w:rPr/>
              <w:t xml:space="preserve">32</w:t>
            </w:r>
          </w:p>
        </w:tc>
        <w:tc>
          <w:tcPr>
            <w:tcW w:type="dxa" w:w="992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/>
            </w:pPr>
            <w:r>
              <w:rPr/>
              <w:t xml:space="preserve">13</w:t>
            </w:r>
          </w:p>
        </w:tc>
        <w:tc>
          <w:tcPr>
            <w:tcW w:type="dxa" w:w="1057"/>
            <w:tcBorders/>
          </w:tcPr>
          <w:p>
            <w:pPr>
              <w:spacing/>
              <w:jc w:val="center"/>
              <w:rPr/>
            </w:pPr>
            <w:r>
              <w:rPr/>
              <w:t xml:space="preserve">12</w:t>
            </w: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/>
            </w:pPr>
            <w:r>
              <w:rPr/>
              <w:t xml:space="preserve">25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E599" w:color="auto" w:val="clear"/>
          </w:tcPr>
          <w:p>
            <w:pPr>
              <w:spacing/>
              <w:rPr/>
            </w:pPr>
            <w:r>
              <w:rPr/>
              <w:t xml:space="preserve">UKUPNO B1)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9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160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69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51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38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/>
            </w:pPr>
            <w:r>
              <w:rPr/>
              <w:t xml:space="preserve">136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BDD6EE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B2) Učenje temeljeno na radu</w:t>
            </w:r>
          </w:p>
        </w:tc>
        <w:tc>
          <w:tcPr>
            <w:tcW w:type="dxa" w:w="661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99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992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850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057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  <w:tc>
          <w:tcPr>
            <w:tcW w:type="dxa" w:w="1276"/>
            <w:tcBorders/>
            <w:shd w:fill="BDD6EE" w:color="auto" w:val="clear"/>
          </w:tcPr>
          <w:p>
            <w:pPr>
              <w:spacing/>
              <w:jc w:val="center"/>
              <w:rPr>
                <w:b/>
              </w:rPr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Prodaja na stranom jeziku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64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34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FFFF" w:color="auto" w:val="clear"/>
          </w:tcPr>
          <w:p>
            <w:pPr>
              <w:spacing/>
              <w:rPr/>
            </w:pPr>
            <w:r>
              <w:rPr/>
              <w:t xml:space="preserve">E-trgovina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64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40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34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35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B2)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128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80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12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68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70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  <w:vertAlign w:val="superscript"/>
              </w:rPr>
            </w:pPr>
            <w:r>
              <w:rPr>
                <w:b/>
              </w:rPr>
              <w:t xml:space="preserve">B3) Izborni modul</w:t>
            </w:r>
            <w:r>
              <w:rPr>
                <w:b/>
                <w:vertAlign w:val="superscript"/>
              </w:rPr>
              <w:t xml:space="preserve">*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50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7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276"/>
            <w:tcBorders/>
            <w:shd w:fill="B4C6E7" w:color="auto" w:val="clear"/>
          </w:tcPr>
          <w:p>
            <w:pPr>
              <w:spacing/>
              <w:jc w:val="center"/>
              <w:rPr/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Kućni namještaj/</w:t>
            </w:r>
          </w:p>
          <w:p>
            <w:pPr>
              <w:spacing/>
              <w:rPr/>
            </w:pPr>
            <w:r>
              <w:rPr/>
              <w:t xml:space="preserve">Tekstil/</w:t>
            </w:r>
          </w:p>
          <w:p>
            <w:pPr>
              <w:spacing/>
              <w:rPr/>
            </w:pPr>
            <w:r>
              <w:rPr/>
              <w:t xml:space="preserve">Obuća i kožna galanterija/</w:t>
            </w:r>
          </w:p>
          <w:p>
            <w:pPr>
              <w:spacing/>
              <w:rPr/>
            </w:pPr>
            <w:r>
              <w:rPr/>
              <w:t xml:space="preserve">Uradi sam/</w:t>
            </w:r>
          </w:p>
          <w:p>
            <w:pPr>
              <w:spacing/>
              <w:rPr/>
            </w:pPr>
            <w:r>
              <w:rPr/>
              <w:t xml:space="preserve">Vrtlarenje/</w:t>
            </w:r>
          </w:p>
          <w:p>
            <w:pPr>
              <w:spacing/>
              <w:rPr/>
            </w:pPr>
            <w:r>
              <w:rPr/>
              <w:t xml:space="preserve">Školski i uredski pribor/</w:t>
            </w:r>
          </w:p>
          <w:p>
            <w:pPr>
              <w:spacing/>
              <w:rPr/>
            </w:pPr>
            <w:r>
              <w:rPr/>
              <w:t xml:space="preserve">Kućanski aparati/</w:t>
            </w:r>
          </w:p>
          <w:p>
            <w:pPr>
              <w:spacing/>
              <w:rPr/>
            </w:pPr>
            <w:r>
              <w:rPr/>
              <w:t xml:space="preserve">Elektronika/</w:t>
            </w:r>
          </w:p>
          <w:p>
            <w:pPr>
              <w:spacing/>
              <w:rPr/>
            </w:pPr>
            <w:r>
              <w:rPr/>
              <w:t xml:space="preserve">Automobili i </w:t>
            </w:r>
            <w:r>
              <w:rPr/>
              <w:t xml:space="preserve">autodijelovi</w:t>
            </w:r>
            <w:r>
              <w:rPr/>
              <w:t xml:space="preserve">/</w:t>
            </w:r>
          </w:p>
          <w:p>
            <w:pPr>
              <w:spacing/>
              <w:rPr/>
            </w:pPr>
            <w:r>
              <w:rPr/>
              <w:t xml:space="preserve">Željezarija</w:t>
            </w:r>
          </w:p>
        </w:tc>
        <w:tc>
          <w:tcPr>
            <w:tcW w:type="dxa" w:w="661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899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64</w:t>
            </w:r>
          </w:p>
        </w:tc>
        <w:tc>
          <w:tcPr>
            <w:tcW w:type="dxa" w:w="992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55</w:t>
            </w:r>
          </w:p>
        </w:tc>
        <w:tc>
          <w:tcPr>
            <w:tcW w:type="dxa" w:w="850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10</w:t>
            </w:r>
          </w:p>
        </w:tc>
        <w:tc>
          <w:tcPr>
            <w:tcW w:type="dxa" w:w="1057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45</w:t>
            </w:r>
          </w:p>
        </w:tc>
        <w:tc>
          <w:tcPr>
            <w:tcW w:type="dxa" w:w="1276"/>
            <w:tcBorders/>
            <w:shd w:fill="FFFFFF" w:color="auto" w:val="clear"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E599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B3)</w:t>
            </w:r>
          </w:p>
        </w:tc>
        <w:tc>
          <w:tcPr>
            <w:tcW w:type="dxa" w:w="661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</w:t>
            </w:r>
          </w:p>
        </w:tc>
        <w:tc>
          <w:tcPr>
            <w:tcW w:type="dxa" w:w="899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64</w:t>
            </w:r>
          </w:p>
        </w:tc>
        <w:tc>
          <w:tcPr>
            <w:tcW w:type="dxa" w:w="992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55</w:t>
            </w:r>
          </w:p>
        </w:tc>
        <w:tc>
          <w:tcPr>
            <w:tcW w:type="dxa" w:w="850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10</w:t>
            </w:r>
          </w:p>
        </w:tc>
        <w:tc>
          <w:tcPr>
            <w:tcW w:type="dxa" w:w="1057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45</w:t>
            </w:r>
          </w:p>
        </w:tc>
        <w:tc>
          <w:tcPr>
            <w:tcW w:type="dxa" w:w="1276"/>
            <w:tcBorders/>
            <w:shd w:fill="FFE599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20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FC000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UKUPNO B1) + B2) + B3)</w:t>
            </w:r>
          </w:p>
        </w:tc>
        <w:tc>
          <w:tcPr>
            <w:tcW w:type="dxa" w:w="661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18</w:t>
            </w:r>
          </w:p>
        </w:tc>
        <w:tc>
          <w:tcPr>
            <w:tcW w:type="dxa" w:w="899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352</w:t>
            </w:r>
          </w:p>
        </w:tc>
        <w:tc>
          <w:tcPr>
            <w:tcW w:type="dxa" w:w="992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224</w:t>
            </w:r>
          </w:p>
        </w:tc>
        <w:tc>
          <w:tcPr>
            <w:tcW w:type="dxa" w:w="850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73</w:t>
            </w:r>
          </w:p>
        </w:tc>
        <w:tc>
          <w:tcPr>
            <w:tcW w:type="dxa" w:w="1057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151</w:t>
            </w:r>
          </w:p>
        </w:tc>
        <w:tc>
          <w:tcPr>
            <w:tcW w:type="dxa" w:w="1276"/>
            <w:tcBorders/>
            <w:shd w:fill="FFC000" w:color="auto" w:val="clear"/>
          </w:tcPr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226</w:t>
            </w: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F7CAAC" w:color="auto" w:val="clea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C) Završni  rad</w:t>
            </w:r>
          </w:p>
        </w:tc>
        <w:tc>
          <w:tcPr>
            <w:tcW w:type="dxa" w:w="661"/>
            <w:tcBorders/>
            <w:shd w:fill="F7CAAC" w:color="auto" w:val="clear"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899"/>
            <w:tcBorders/>
            <w:shd w:fill="F7CAAC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992"/>
            <w:tcBorders/>
            <w:shd w:fill="F7CAAC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850"/>
            <w:tcBorders/>
            <w:shd w:fill="F7CAAC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057"/>
            <w:tcBorders/>
            <w:shd w:fill="F7CAAC" w:color="auto" w:val="clear"/>
          </w:tcPr>
          <w:p>
            <w:pPr>
              <w:spacing/>
              <w:jc w:val="center"/>
              <w:rPr/>
            </w:pPr>
          </w:p>
        </w:tc>
        <w:tc>
          <w:tcPr>
            <w:tcW w:type="dxa" w:w="1276"/>
            <w:tcBorders/>
            <w:shd w:fill="F7CAAC" w:color="auto" w:val="clear"/>
          </w:tcPr>
          <w:p>
            <w:pPr>
              <w:spacing/>
              <w:jc w:val="center"/>
              <w:rPr/>
            </w:pPr>
          </w:p>
        </w:tc>
      </w:tr>
      <w:tr>
        <w:trPr>
          <w:gridAfter w:val="1"/>
          <w:wAfter w:type="dxa" w:w="13"/>
        </w:trPr>
        <w:tc>
          <w:tcPr>
            <w:tcW w:type="dxa" w:w="3114"/>
            <w:tcBorders/>
            <w:shd w:fill="B4C6E7" w:color="auto" w:val="clear"/>
          </w:tcPr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SVEUKUPNO A + B +C</w:t>
            </w:r>
          </w:p>
        </w:tc>
        <w:tc>
          <w:tcPr>
            <w:tcW w:type="dxa" w:w="661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34</w:t>
            </w:r>
          </w:p>
        </w:tc>
        <w:tc>
          <w:tcPr>
            <w:tcW w:type="dxa" w:w="899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608</w:t>
            </w:r>
          </w:p>
        </w:tc>
        <w:tc>
          <w:tcPr>
            <w:tcW w:type="dxa" w:w="992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352</w:t>
            </w:r>
          </w:p>
        </w:tc>
        <w:tc>
          <w:tcPr>
            <w:tcW w:type="dxa" w:w="850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201</w:t>
            </w:r>
          </w:p>
        </w:tc>
        <w:tc>
          <w:tcPr>
            <w:tcW w:type="dxa" w:w="1057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151</w:t>
            </w:r>
          </w:p>
        </w:tc>
        <w:tc>
          <w:tcPr>
            <w:tcW w:type="dxa" w:w="1276"/>
            <w:tcBorders/>
            <w:shd w:fill="B4C6E7" w:color="auto" w:val="clear"/>
          </w:tcPr>
          <w:p>
            <w:pPr>
              <w:spacing/>
              <w:jc w:val="center"/>
              <w:rPr>
                <w:b/>
              </w:rPr>
            </w:pPr>
          </w:p>
          <w:p>
            <w:pPr>
              <w:spacing/>
              <w:jc w:val="center"/>
              <w:rPr>
                <w:b/>
              </w:rPr>
            </w:pPr>
            <w:r>
              <w:rPr>
                <w:b/>
              </w:rPr>
              <w:t xml:space="preserve">354</w:t>
            </w:r>
          </w:p>
        </w:tc>
      </w:tr>
    </w:tbl>
    <w:p w14:paraId="7915D46B">
      <w:pPr>
        <w:pStyle w:val="Odlomakpopisa"/>
        <w:spacing w:after="0" w:line="240" w:lineRule="exact"/>
        <w:ind w:left="4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Odabire se jedan izborni modul  </w:t>
      </w:r>
    </w:p>
    <w:p w14:paraId="669B294C">
      <w:pPr>
        <w:pStyle w:val="Odlomakpopisa"/>
        <w:spacing w:after="0" w:line="240" w:lineRule="exact"/>
        <w:ind w:left="420"/>
        <w:rPr>
          <w:rFonts w:ascii="MinionPro-Cn" w:hAnsi="MinionPro-Cn" w:cs="MinionPro-Cn"/>
          <w:sz w:val="16"/>
          <w:szCs w:val="16"/>
        </w:rPr>
      </w:pPr>
    </w:p>
    <w:p w14:paraId="1F3D67CA">
      <w:pPr>
        <w:pStyle w:val="Odlomakpopisa"/>
        <w:spacing/>
        <w:ind w:left="420"/>
        <w:rPr/>
      </w:pPr>
      <w:r>
        <w:rPr>
          <w:b/>
        </w:rPr>
        <w:t xml:space="preserve">NAPOMENA: Iste izborne module nije moguće birati uzastopno iz godine u godinu niti ponavljati.</w:t>
      </w:r>
    </w:p>
    <w:p w14:paraId="6FB79822">
      <w:pPr>
        <w:pStyle w:val="Naslov1"/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bookmarkStart w:id="302" w:name="_Toc179578113"/>
      <w:bookmarkStart w:id="303" w:name="_Toc210485142"/>
      <w:r>
        <w:rPr>
          <w:sz w:val="28"/>
          <w:szCs w:val="28"/>
        </w:rPr>
        <w:t xml:space="preserve">Nastavni plan osposobljavanja za stjecanje djelomične kvalifikacije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</w:t>
      </w:r>
      <w:r>
        <w:rPr>
          <w:sz w:val="28"/>
          <w:szCs w:val="28"/>
        </w:rPr>
        <w:t xml:space="preserve">njigovođa</w:t>
      </w:r>
      <w:bookmarkEnd w:id="302"/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knjigovotkinj</w:t>
      </w:r>
      <w:r>
        <w:rPr>
          <w:sz w:val="28"/>
          <w:szCs w:val="28"/>
        </w:rPr>
        <w:t xml:space="preserve">a</w:t>
      </w:r>
      <w:bookmarkEnd w:id="303"/>
    </w:p>
    <w:tbl>
      <w:tblPr>
        <w:tblStyle w:val="Reetkatablice2"/>
        <w:tblW w:w="964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683"/>
        <w:gridCol w:w="2268"/>
        <w:gridCol w:w="869"/>
        <w:gridCol w:w="8"/>
        <w:gridCol w:w="984"/>
        <w:gridCol w:w="8"/>
        <w:gridCol w:w="701"/>
        <w:gridCol w:w="8"/>
        <w:gridCol w:w="700"/>
        <w:gridCol w:w="8"/>
        <w:gridCol w:w="559"/>
        <w:gridCol w:w="8"/>
        <w:gridCol w:w="1127"/>
        <w:gridCol w:w="8"/>
      </w:tblGrid>
      <w:tr>
        <w:trPr>
          <w:gridAfter w:val="1"/>
          <w:wAfter w:type="dxa" w:w="8"/>
          <w:trHeight w:val="552" w:hRule="atLeast"/>
          <w:jc w:val="center"/>
        </w:trPr>
        <w:tc>
          <w:tcPr>
            <w:tcW w:type="dxa" w:w="704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  <w:p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Redni broj</w:t>
            </w:r>
          </w:p>
        </w:tc>
        <w:tc>
          <w:tcPr>
            <w:tcW w:type="dxa" w:w="1683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NAZIV MODULA</w:t>
            </w:r>
          </w:p>
        </w:tc>
        <w:tc>
          <w:tcPr>
            <w:tcW w:type="dxa" w:w="2268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POPIS SKUPOVA ISHODA UČENJA</w:t>
            </w:r>
          </w:p>
        </w:tc>
        <w:tc>
          <w:tcPr>
            <w:tcW w:type="dxa" w:w="869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Razina</w:t>
            </w:r>
          </w:p>
        </w:tc>
        <w:tc>
          <w:tcPr>
            <w:tcW w:type="dxa" w:w="992"/>
            <w:gridSpan w:val="2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Obujam CSVET</w:t>
            </w:r>
          </w:p>
        </w:tc>
        <w:tc>
          <w:tcPr>
            <w:tcW w:type="dxa" w:w="3119"/>
            <w:gridSpan w:val="8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fill="9CC2E5" w:color="auto" w:val="clear"/>
            <w:hideMark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Broj sati</w:t>
            </w:r>
          </w:p>
        </w:tc>
      </w:tr>
      <w:tr>
        <w:trPr>
          <w:gridAfter w:val="1"/>
          <w:wAfter w:type="dxa" w:w="8"/>
          <w:trHeight w:val="114" w:hRule="atLeast"/>
          <w:jc w:val="center"/>
        </w:trPr>
        <w:tc>
          <w:tcPr>
            <w:tcW w:type="dxa" w:w="704"/>
            <w:vMerge w:val="continue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2268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869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ind w:left="360"/>
              <w:jc w:val="both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992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ind w:left="360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VPUP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UTR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SAP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noProof/>
                <w:color w:val="000000"/>
                <w:sz w:val="16"/>
                <w:szCs w:val="16"/>
                <w:lang w:eastAsia="bs-Latn-BA"/>
              </w:rPr>
              <w:t xml:space="preserve">UKUPNO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restart"/>
            <w:tcBorders>
              <w:top w:val="single" w:color="auto" w:sz="6" w:space="0"/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1.</w:t>
            </w:r>
          </w:p>
        </w:tc>
        <w:tc>
          <w:tcPr>
            <w:tcW w:type="dxa" w:w="168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Uvod u računovodstvo</w:t>
            </w: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Osnovni pojmovi računovodstva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7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Računovodstveni instrumenti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7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Popis imovine i obveza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9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restart"/>
            <w:tcBorders>
              <w:top w:val="single" w:color="auto" w:sz="6" w:space="0"/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2.</w:t>
            </w:r>
          </w:p>
        </w:tc>
        <w:tc>
          <w:tcPr>
            <w:tcW w:type="dxa" w:w="168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Imovina i obveze</w:t>
            </w: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Blagajničko poslovanje i platni promet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Evidentiranje dugotrajne nematerijalne i materijalne imovine i amortizacija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7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13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Evidentiranje kratkotrajne i dugotrajne financijske imovine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Evidentiranje kratkoročnih i dugoročnih potraživanja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Evidentiranje kratkoročnih i dugoročnih obveza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Obračun PDV-a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7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Evidentiranje kratkotrajne materijalne imovine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Evidentiranje robe u trgovini na veliko i malo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12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restart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3.</w:t>
            </w:r>
          </w:p>
        </w:tc>
        <w:tc>
          <w:tcPr>
            <w:tcW w:type="dxa" w:w="1683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Rashodi, prihodi i financijski rezultat</w:t>
            </w: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Obračun plaća i naknada zaposlenika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12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8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Računovodstveno praćenje kategorija koje utječu na financijski rezultat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10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gridAfter w:val="1"/>
          <w:wAfter w:type="dxa" w:w="8"/>
          <w:jc w:val="center"/>
        </w:trPr>
        <w:tc>
          <w:tcPr>
            <w:tcW w:type="dxa" w:w="704"/>
            <w:tcBorders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4.</w:t>
            </w:r>
          </w:p>
        </w:tc>
        <w:tc>
          <w:tcPr>
            <w:tcW w:type="dxa" w:w="168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Knjigovodstvo na računalu</w:t>
            </w: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20"/>
                <w:szCs w:val="20"/>
                <w:lang w:eastAsia="bs-Latn-BA"/>
              </w:rPr>
              <w:t xml:space="preserve">Otvaranje poslovnih knjiga i evidencija promjena u poslovanju korištenjem aplikacijskog softvera</w:t>
            </w:r>
          </w:p>
        </w:tc>
        <w:tc>
          <w:tcPr>
            <w:tcW w:type="dxa" w:w="86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4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18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noProof/>
                <w:color w:val="000000"/>
                <w:sz w:val="16"/>
                <w:szCs w:val="16"/>
                <w:lang w:eastAsia="bs-Latn-BA"/>
              </w:rPr>
              <w:t xml:space="preserve">25</w:t>
            </w:r>
          </w:p>
        </w:tc>
      </w:tr>
      <w:tr>
        <w:trPr>
          <w:trHeight w:val="327" w:hRule="atLeast"/>
          <w:jc w:val="center"/>
        </w:trPr>
        <w:tc>
          <w:tcPr>
            <w:tcW w:type="dxa" w:w="5532"/>
            <w:gridSpan w:val="5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76" w:lineRule="auto"/>
              <w:jc w:val="right"/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U</w:t>
            </w: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KUPNO</w:t>
            </w:r>
          </w:p>
        </w:tc>
        <w:tc>
          <w:tcPr>
            <w:tcW w:type="dxa" w:w="992"/>
            <w:gridSpan w:val="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14</w:t>
            </w:r>
          </w:p>
        </w:tc>
        <w:tc>
          <w:tcPr>
            <w:tcW w:type="dxa" w:w="709"/>
            <w:gridSpan w:val="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85</w:t>
            </w:r>
          </w:p>
        </w:tc>
        <w:tc>
          <w:tcPr>
            <w:tcW w:type="dxa" w:w="708"/>
            <w:gridSpan w:val="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140</w:t>
            </w:r>
          </w:p>
        </w:tc>
        <w:tc>
          <w:tcPr>
            <w:tcW w:type="dxa" w:w="567"/>
            <w:gridSpan w:val="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125</w:t>
            </w:r>
          </w:p>
        </w:tc>
        <w:tc>
          <w:tcPr>
            <w:tcW w:type="dxa" w:w="1135"/>
            <w:gridSpan w:val="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</w:pPr>
            <w:r>
              <w:rPr>
                <w:rFonts w:ascii="Times New Roman" w:hAnsi="Times New Roman" w:eastAsia="Calibri" w:cs="Times New Roman"/>
                <w:b/>
                <w:noProof/>
                <w:color w:val="000000"/>
                <w:sz w:val="16"/>
                <w:szCs w:val="16"/>
                <w:lang w:eastAsia="bs-Latn-BA"/>
              </w:rPr>
              <w:t xml:space="preserve">350</w:t>
            </w:r>
          </w:p>
        </w:tc>
      </w:tr>
    </w:tbl>
    <w:p w14:paraId="4A7499C3">
      <w:pPr>
        <w:spacing w:before="100" w:beforeAutospacing="1" w:after="480" w:line="240" w:lineRule="auto"/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</w:pPr>
      <w:r>
        <w:rPr>
          <w:rFonts w:ascii="Times New Roman" w:hAnsi="Times New Roman" w:eastAsia="Calibri" w:cs="Times New Roman"/>
          <w:b/>
          <w:bCs/>
          <w:iCs/>
          <w:noProof/>
          <w:color w:val="000000"/>
          <w:sz w:val="20"/>
          <w:szCs w:val="20"/>
          <w:lang w:eastAsia="bs-Latn-BA"/>
        </w:rPr>
        <w:t xml:space="preserve">NAPOMENA:</w:t>
      </w:r>
      <w:r>
        <w:rPr>
          <w:rFonts w:ascii="Times New Roman" w:hAnsi="Times New Roman" w:eastAsia="Calibri" w:cs="Times New Roman"/>
          <w:b/>
          <w:iCs/>
          <w:noProof/>
          <w:color w:val="000000"/>
          <w:sz w:val="20"/>
          <w:szCs w:val="20"/>
          <w:lang w:eastAsia="bs-Latn-BA"/>
        </w:rPr>
        <w:t xml:space="preserve"> 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VPUP – vođeni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 proces učenja i poučavanja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, 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UTR – učenje temeljeno na radu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,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 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SAP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 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– samostalne aktivnosti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 </w:t>
      </w:r>
      <w:r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  <w:t xml:space="preserve">polaznika</w:t>
      </w:r>
    </w:p>
    <w:p w14:paraId="2C105B63">
      <w:pPr>
        <w:spacing w:before="100" w:beforeAutospacing="1" w:after="480" w:line="240" w:lineRule="auto"/>
        <w:rPr>
          <w:rFonts w:ascii="Times New Roman" w:hAnsi="Times New Roman" w:eastAsia="Calibri" w:cs="Times New Roman"/>
          <w:iCs/>
          <w:noProof/>
          <w:color w:val="000000"/>
          <w:sz w:val="20"/>
          <w:szCs w:val="20"/>
          <w:lang w:eastAsia="bs-Latn-BA"/>
        </w:rPr>
      </w:pPr>
    </w:p>
    <w:p w14:paraId="2A7102A0">
      <w:pPr>
        <w:pStyle w:val="Naslov1"/>
        <w:numPr>
          <w:ilvl w:val="0"/>
          <w:numId w:val="11"/>
        </w:numPr>
        <w:spacing w:before="100" w:beforeAutospacing="1" w:after="480"/>
        <w:rPr>
          <w:sz w:val="28"/>
          <w:szCs w:val="28"/>
        </w:rPr>
      </w:pPr>
      <w:bookmarkStart w:id="304" w:name="_Toc210485143"/>
      <w:r>
        <w:rPr>
          <w:bCs/>
          <w:sz w:val="28"/>
          <w:szCs w:val="28"/>
        </w:rPr>
        <w:t xml:space="preserve">Program obrazovanja za stjecanje djelomične kvalifikacije</w:t>
      </w:r>
      <w:r>
        <w:rPr>
          <w:b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njegovatelj/njegovateljica u institucionalnoj i izvaninstitucionalnoj skrbi o starijim i nemoćnim osobama</w:t>
      </w:r>
      <w:bookmarkEnd w:id="304"/>
    </w:p>
    <w:tbl>
      <w:tblPr>
        <w:tblStyle w:val="Reetkatablice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2250"/>
        <w:gridCol w:w="1719"/>
        <w:gridCol w:w="851"/>
        <w:gridCol w:w="992"/>
        <w:gridCol w:w="709"/>
        <w:gridCol w:w="708"/>
        <w:gridCol w:w="567"/>
        <w:gridCol w:w="993"/>
      </w:tblGrid>
      <w:tr>
        <w:trPr>
          <w:trHeight w:val="552" w:hRule="atLeast"/>
        </w:trPr>
        <w:tc>
          <w:tcPr>
            <w:tcW w:type="dxa" w:w="704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/>
              <w:jc w:val="both"/>
              <w:rPr>
                <w:b/>
                <w:bCs/>
                <w:noProof/>
                <w:sz w:val="16"/>
                <w:szCs w:val="16"/>
              </w:rPr>
            </w:pPr>
            <w:bookmarkStart w:id="305" w:name="_Hlk92960607"/>
          </w:p>
          <w:p>
            <w:pPr>
              <w:spacing/>
              <w:jc w:val="both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Redni broj</w:t>
            </w:r>
          </w:p>
        </w:tc>
        <w:tc>
          <w:tcPr>
            <w:tcW w:type="dxa" w:w="2250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NAZIV MODULA</w:t>
            </w:r>
          </w:p>
        </w:tc>
        <w:tc>
          <w:tcPr>
            <w:tcW w:type="dxa" w:w="1719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POPIS SKUPOVA ISHODA UČENJA</w:t>
            </w:r>
          </w:p>
        </w:tc>
        <w:tc>
          <w:tcPr>
            <w:tcW w:type="dxa" w:w="851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Razina</w:t>
            </w:r>
          </w:p>
        </w:tc>
        <w:tc>
          <w:tcPr>
            <w:tcW w:type="dxa" w:w="992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Obujam CSVET</w:t>
            </w:r>
          </w:p>
        </w:tc>
        <w:tc>
          <w:tcPr>
            <w:tcW w:type="dxa" w:w="2977"/>
            <w:gridSpan w:val="4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fill="9CC2E5" w:color="auto" w:val="clea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Broj sati</w:t>
            </w:r>
          </w:p>
        </w:tc>
      </w:tr>
      <w:tr>
        <w:trPr>
          <w:trHeight w:val="114" w:hRule="atLeast"/>
        </w:trPr>
        <w:tc>
          <w:tcPr>
            <w:tcW w:type="dxa" w:w="704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851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992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VPUP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UTR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SAP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fill="9CC2E5" w:color="auto" w:val="clear"/>
            <w:hideMark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UKUPNO</w:t>
            </w:r>
          </w:p>
        </w:tc>
      </w:tr>
      <w:tr>
        <w:trPr>
          <w:trHeight w:val="588" w:hRule="atLeast"/>
        </w:trPr>
        <w:tc>
          <w:tcPr>
            <w:tcW w:type="dxa" w:w="704"/>
            <w:tcBorders>
              <w:top w:val="single" w:color="auto" w:sz="6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1.</w:t>
            </w:r>
          </w:p>
        </w:tc>
        <w:tc>
          <w:tcPr>
            <w:tcW w:type="dxa" w:w="225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ZAŠTITA NA RADU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Zaštita na radu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4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50</w:t>
            </w:r>
          </w:p>
        </w:tc>
      </w:tr>
      <w:tr>
        <w:trPr>
          <w:trHeight w:val="543" w:hRule="atLeast"/>
        </w:trPr>
        <w:tc>
          <w:tcPr>
            <w:tcW w:type="dxa" w:w="704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2.</w:t>
            </w:r>
          </w:p>
        </w:tc>
        <w:tc>
          <w:tcPr>
            <w:tcW w:type="dxa" w:w="2250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PLANIRANJE I STANDARDI KVALITETE RADA NJEGOVATELJA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Planiranje rada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30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50</w:t>
            </w:r>
          </w:p>
        </w:tc>
      </w:tr>
      <w:tr>
        <w:trPr>
          <w:trHeight w:val="610" w:hRule="atLeast"/>
        </w:trPr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Standardi kvalitete rada njegovatelja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25</w:t>
            </w:r>
          </w:p>
        </w:tc>
      </w:tr>
      <w:tr>
        <w:trPr>
          <w:trHeight w:val="285" w:hRule="atLeast"/>
        </w:trPr>
        <w:tc>
          <w:tcPr>
            <w:tcW w:type="dxa" w:w="704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3.</w:t>
            </w:r>
          </w:p>
        </w:tc>
        <w:tc>
          <w:tcPr>
            <w:tcW w:type="dxa" w:w="2250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DEZINFEKCIJA I HIGIJENA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Dezinfekcija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75</w:t>
            </w:r>
          </w:p>
        </w:tc>
      </w:tr>
      <w:tr>
        <w:trPr>
          <w:trHeight w:val="285" w:hRule="atLeast"/>
        </w:trPr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Higijena okoline korisnika</w:t>
            </w:r>
          </w:p>
        </w:tc>
        <w:tc>
          <w:tcPr>
            <w:tcW w:type="dxa" w:w="85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708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56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99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25</w:t>
            </w:r>
          </w:p>
        </w:tc>
      </w:tr>
      <w:tr>
        <w:trPr>
          <w:trHeight w:val="589" w:hRule="atLeast"/>
        </w:trPr>
        <w:tc>
          <w:tcPr>
            <w:tcW w:type="dxa" w:w="704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4.</w:t>
            </w:r>
          </w:p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type="dxa" w:w="2250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KARAKTERISTIKE LJUDSKOG TIJELA I PRVA POMOĆ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Osnove građe ljudskog tijela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30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75</w:t>
            </w:r>
          </w:p>
        </w:tc>
      </w:tr>
      <w:tr>
        <w:trPr>
          <w:trHeight w:val="193" w:hRule="atLeast"/>
        </w:trPr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Pružanje prve pomoći korisniku</w:t>
            </w:r>
          </w:p>
        </w:tc>
        <w:tc>
          <w:tcPr>
            <w:tcW w:type="dxa" w:w="851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70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20</w:t>
            </w:r>
          </w:p>
        </w:tc>
        <w:tc>
          <w:tcPr>
            <w:tcW w:type="dxa" w:w="56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99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50</w:t>
            </w:r>
          </w:p>
        </w:tc>
      </w:tr>
      <w:tr>
        <w:trPr/>
        <w:tc>
          <w:tcPr>
            <w:tcW w:type="dxa" w:w="704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5.</w:t>
            </w:r>
          </w:p>
        </w:tc>
        <w:tc>
          <w:tcPr>
            <w:tcW w:type="dxa" w:w="2250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NJEGA KORISNIKA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Pomoć pri osobnoj higijeni nepokretnih korisnika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45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75</w:t>
            </w:r>
          </w:p>
        </w:tc>
      </w:tr>
      <w:tr>
        <w:trPr/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Pomoć u sprečavanju komplikacija dugotrajnog ležanja i padova korisnika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45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75</w:t>
            </w:r>
          </w:p>
        </w:tc>
      </w:tr>
      <w:tr>
        <w:trPr/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highlight w:val="yellow"/>
              </w:rPr>
            </w:pPr>
            <w:r>
              <w:rPr>
                <w:noProof/>
              </w:rPr>
              <w:t xml:space="preserve">Pomoć korisniku pri održavanju tjelesne temperature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7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13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 xml:space="preserve">25</w:t>
            </w:r>
          </w:p>
        </w:tc>
      </w:tr>
      <w:tr>
        <w:trPr/>
        <w:tc>
          <w:tcPr>
            <w:tcW w:type="dxa" w:w="704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6.</w:t>
            </w:r>
          </w:p>
        </w:tc>
        <w:tc>
          <w:tcPr>
            <w:tcW w:type="dxa" w:w="2250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UNOS HRANE I TEKUĆINE, ELIMINACIJA, ODIJEVANJE I KRETANJE KORISNIKA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Pomoć korisniku pri unosu hrane i tekućine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50</w:t>
            </w:r>
          </w:p>
        </w:tc>
      </w:tr>
      <w:tr>
        <w:trPr>
          <w:trHeight w:val="629" w:hRule="atLeast"/>
        </w:trPr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Pomoć korisniku pri eliminaciji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50</w:t>
            </w:r>
          </w:p>
        </w:tc>
      </w:tr>
      <w:tr>
        <w:trPr/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Pomoć korisniku pri odijevanju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17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25</w:t>
            </w:r>
          </w:p>
        </w:tc>
      </w:tr>
      <w:tr>
        <w:trPr/>
        <w:tc>
          <w:tcPr>
            <w:tcW w:type="dxa" w:w="704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2250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rPr>
                <w:rFonts w:eastAsia="Calibri"/>
                <w:bCs/>
                <w:noProof/>
                <w:sz w:val="16"/>
                <w:szCs w:val="16"/>
                <w:lang w:eastAsia="bs-Latn-BA"/>
              </w:rPr>
            </w:pP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Pomoć pri kretanju korisnika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45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75</w:t>
            </w:r>
          </w:p>
        </w:tc>
      </w:tr>
      <w:bookmarkEnd w:id="305"/>
      <w:tr>
        <w:trPr/>
        <w:tc>
          <w:tcPr>
            <w:tcW w:type="dxa" w:w="70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shd w:fill="BDD6EE" w:color="auto" w:val="clear"/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7.</w:t>
            </w:r>
          </w:p>
        </w:tc>
        <w:tc>
          <w:tcPr>
            <w:tcW w:type="dxa" w:w="225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 xml:space="preserve">KOMUNIKACIJSKE VJEŠTINE NJEGOVATELJA</w:t>
            </w:r>
          </w:p>
        </w:tc>
        <w:tc>
          <w:tcPr>
            <w:tcW w:type="dxa" w:w="17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</w:rPr>
            </w:pPr>
            <w:r>
              <w:rPr>
                <w:noProof/>
              </w:rPr>
              <w:t xml:space="preserve">Komunikacijske vještine njegovatelja u radu s korisnicima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ind w:left="3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4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30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10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50</w:t>
            </w:r>
          </w:p>
        </w:tc>
      </w:tr>
      <w:tr>
        <w:trPr>
          <w:trHeight w:val="535" w:hRule="atLeast"/>
        </w:trPr>
        <w:tc>
          <w:tcPr>
            <w:tcW w:type="dxa" w:w="5524"/>
            <w:gridSpan w:val="4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both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                                                                                     </w:t>
            </w:r>
            <w:r>
              <w:rPr>
                <w:b/>
                <w:bCs/>
                <w:noProof/>
                <w:sz w:val="16"/>
                <w:szCs w:val="16"/>
              </w:rPr>
              <w:t xml:space="preserve">Ukupno</w:t>
            </w:r>
            <w:r>
              <w:rPr>
                <w:noProof/>
                <w:sz w:val="16"/>
                <w:szCs w:val="16"/>
              </w:rPr>
              <w:t xml:space="preserve">: 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31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155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455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165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18" w:space="0"/>
            </w:tcBorders>
            <w:hideMark/>
            <w:vAlign w:val="center"/>
          </w:tcPr>
          <w:p>
            <w:pPr>
              <w:spacing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t xml:space="preserve">775</w:t>
            </w:r>
          </w:p>
        </w:tc>
      </w:tr>
    </w:tbl>
    <w:p w14:paraId="3F093139">
      <w:pPr>
        <w:spacing w:before="360" w:after="100" w:afterAutospacing="1" w:line="240" w:lineRule="auto"/>
        <w:jc w:val="both"/>
        <w:rPr>
          <w:rFonts w:ascii="Times New Roman" w:hAnsi="Times New Roman" w:cs="Times New Roman"/>
          <w:iCs/>
          <w:noProof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iCs/>
          <w:noProof/>
          <w:color w:val="000000"/>
          <w:sz w:val="20"/>
          <w:szCs w:val="20"/>
        </w:rPr>
        <w:t xml:space="preserve">NAPOMENA: </w:t>
      </w:r>
      <w:r>
        <w:rPr>
          <w:rFonts w:ascii="Times New Roman" w:hAnsi="Times New Roman" w:cs="Times New Roman"/>
          <w:iCs/>
          <w:noProof/>
          <w:color w:val="000000"/>
          <w:sz w:val="20"/>
          <w:szCs w:val="20"/>
        </w:rPr>
        <w:t xml:space="preserve">VPUP – vo</w:t>
      </w:r>
      <w:r>
        <w:rPr>
          <w:rFonts w:ascii="Times New Roman" w:hAnsi="Times New Roman" w:cs="Times New Roman"/>
          <w:iCs/>
          <w:noProof/>
          <w:color w:val="000000"/>
          <w:sz w:val="20"/>
          <w:szCs w:val="20"/>
        </w:rPr>
        <w:t xml:space="preserve">đeni proces učenja i poučavanja, UTR – učenje temeljeno na radu, </w:t>
      </w:r>
      <w:r>
        <w:rPr>
          <w:rFonts w:ascii="Times New Roman" w:hAnsi="Times New Roman" w:cs="Times New Roman"/>
          <w:iCs/>
          <w:noProof/>
          <w:color w:val="000000"/>
          <w:sz w:val="20"/>
          <w:szCs w:val="20"/>
        </w:rPr>
        <w:t xml:space="preserve">SAP– samostalne aktivnosti</w:t>
      </w:r>
      <w:r>
        <w:rPr>
          <w:rFonts w:ascii="Times New Roman" w:hAnsi="Times New Roman" w:cs="Times New Roman"/>
          <w:iCs/>
          <w:noProof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noProof/>
          <w:color w:val="000000"/>
          <w:sz w:val="20"/>
          <w:szCs w:val="20"/>
        </w:rPr>
        <w:t xml:space="preserve">polaznika</w:t>
      </w:r>
    </w:p>
    <w:p w14:paraId="70260A11">
      <w:pPr>
        <w:pStyle w:val="Naslov1"/>
        <w:numPr>
          <w:ilvl w:val="0"/>
          <w:numId w:val="11"/>
        </w:numPr>
        <w:spacing w:before="480" w:after="480"/>
        <w:rPr>
          <w:bCs/>
          <w:sz w:val="28"/>
          <w:szCs w:val="28"/>
        </w:rPr>
      </w:pPr>
      <w:bookmarkStart w:id="306" w:name="_Toc210485144"/>
      <w:r>
        <w:rPr>
          <w:bCs/>
          <w:sz w:val="28"/>
          <w:szCs w:val="28"/>
        </w:rPr>
        <w:t xml:space="preserve">Program obrazovanja za stjecanje djelomične kvalifikacije pomoćnik u nastavi/pomoćnica u nastavi</w:t>
      </w:r>
      <w:bookmarkEnd w:id="306"/>
    </w:p>
    <w:tbl>
      <w:tblPr>
        <w:tblStyle w:val="Reetkatablice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1683"/>
        <w:gridCol w:w="2268"/>
        <w:gridCol w:w="851"/>
        <w:gridCol w:w="1010"/>
        <w:gridCol w:w="709"/>
        <w:gridCol w:w="708"/>
        <w:gridCol w:w="567"/>
        <w:gridCol w:w="993"/>
      </w:tblGrid>
      <w:tr>
        <w:trPr>
          <w:trHeight w:val="552" w:hRule="atLeast"/>
        </w:trPr>
        <w:tc>
          <w:tcPr>
            <w:tcW w:type="dxa" w:w="704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</w:tcPr>
          <w:p>
            <w:pPr>
              <w:spacing w:before="100" w:beforeAutospacing="1" w:after="100" w:afterAutospacing="1"/>
              <w:jc w:val="both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both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Redni broj</w:t>
            </w:r>
          </w:p>
        </w:tc>
        <w:tc>
          <w:tcPr>
            <w:tcW w:type="dxa" w:w="1683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NAZIV MODULA</w:t>
            </w:r>
          </w:p>
        </w:tc>
        <w:tc>
          <w:tcPr>
            <w:tcW w:type="dxa" w:w="2268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POPIS SKUPOVA ISHODA UČENJA</w:t>
            </w:r>
          </w:p>
        </w:tc>
        <w:tc>
          <w:tcPr>
            <w:tcW w:type="dxa" w:w="851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Razina</w:t>
            </w:r>
          </w:p>
        </w:tc>
        <w:tc>
          <w:tcPr>
            <w:tcW w:type="dxa" w:w="1010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hideMark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Obujam CSVET</w:t>
            </w:r>
          </w:p>
        </w:tc>
        <w:tc>
          <w:tcPr>
            <w:tcW w:type="dxa" w:w="2977"/>
            <w:gridSpan w:val="4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fill="9CC2E5" w:color="auto" w:val="clear"/>
            <w:hideMark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Broj sati</w:t>
            </w:r>
          </w:p>
        </w:tc>
      </w:tr>
      <w:tr>
        <w:trPr>
          <w:trHeight w:val="114" w:hRule="atLeast"/>
        </w:trPr>
        <w:tc>
          <w:tcPr>
            <w:tcW w:type="dxa" w:w="704"/>
            <w:vMerge w:val="continue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 w:before="100" w:beforeAutospacing="1" w:after="100" w:afterAutospacing="1"/>
              <w:jc w:val="both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168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 w:before="100" w:beforeAutospacing="1" w:after="100" w:afterAutospacing="1"/>
              <w:jc w:val="both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2268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 w:before="100" w:beforeAutospacing="1" w:after="100" w:afterAutospacing="1"/>
              <w:jc w:val="both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851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 w:before="100" w:beforeAutospacing="1" w:after="100" w:afterAutospacing="1"/>
              <w:ind w:left="360"/>
              <w:jc w:val="both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1010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</w:tcPr>
          <w:p>
            <w:pPr>
              <w:spacing w:before="100" w:beforeAutospacing="1" w:after="100" w:afterAutospacing="1"/>
              <w:ind w:left="360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VPUP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UTR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9CC2E5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SAP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fill="9CC2E5" w:color="auto" w:val="clea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UKUPNO</w:t>
            </w:r>
          </w:p>
        </w:tc>
      </w:tr>
      <w:tr>
        <w:trPr>
          <w:trHeight w:val="703" w:hRule="atLeast"/>
        </w:trPr>
        <w:tc>
          <w:tcPr>
            <w:tcW w:type="dxa" w:w="704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BDD6EE" w:color="auto" w:val="clear"/>
            <w:hideMark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1.</w:t>
            </w:r>
          </w:p>
        </w:tc>
        <w:tc>
          <w:tcPr>
            <w:tcW w:type="dxa" w:w="168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Inkluzivno obrazovanje i razvojne osobitosti učenika s teškoćama u razvoju </w:t>
            </w: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Upoznavanje s inkluzivnim obrazovanjem i razvojnim osobitostima učenika s teškoćama u razvoju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35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0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50</w:t>
            </w:r>
          </w:p>
        </w:tc>
      </w:tr>
      <w:tr>
        <w:trPr>
          <w:trHeight w:val="703" w:hRule="atLeast"/>
        </w:trPr>
        <w:tc>
          <w:tcPr>
            <w:tcW w:type="dxa" w:w="704"/>
            <w:vMerge w:val="restart"/>
            <w:tcBorders>
              <w:top w:val="single" w:color="auto" w:sz="6" w:space="0"/>
              <w:left w:val="single" w:color="auto" w:sz="18" w:space="0"/>
              <w:right w:val="single" w:color="auto" w:sz="6" w:space="0"/>
            </w:tcBorders>
            <w:shd w:fill="BDD6EE" w:color="auto" w:val="clear"/>
          </w:tcPr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2. </w:t>
            </w: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168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Potpora u odgojno-obrazovnom procesu i socijalnom uključivanju</w:t>
            </w:r>
          </w:p>
          <w:p>
            <w:pPr>
              <w:spacing w:before="100" w:beforeAutospacing="1" w:after="100" w:afterAutospacing="1"/>
              <w:jc w:val="both"/>
              <w:rPr>
                <w:noProof/>
                <w:color w:val="000000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59" w:lineRule="auto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Pružanje neposredne potpore učeniku u obavljanju školskih aktivnosti i zadataka te tijekom učenja temeljenog na radu uz savjetovanje s učiteljem/nastavnikom, koordinatorom 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50</w:t>
            </w:r>
          </w:p>
        </w:tc>
      </w:tr>
      <w:tr>
        <w:trPr>
          <w:trHeight w:val="703" w:hRule="atLeast"/>
        </w:trPr>
        <w:tc>
          <w:tcPr>
            <w:tcW w:type="dxa" w:w="704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6" w:space="0"/>
            </w:tcBorders>
            <w:shd w:fill="BDD6EE" w:color="auto" w:val="clea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both"/>
              <w:rPr>
                <w:noProof/>
                <w:color w:val="000000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 w:line="259" w:lineRule="auto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Pružanje neposredne potpore učeniku u socijalnoj uključenosti i interakciji uz savjetovanje s učiteljem/nastavnikom, koordinatorom 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3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45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75</w:t>
            </w:r>
          </w:p>
        </w:tc>
      </w:tr>
      <w:tr>
        <w:trPr>
          <w:trHeight w:val="703" w:hRule="atLeast"/>
        </w:trPr>
        <w:tc>
          <w:tcPr>
            <w:tcW w:type="dxa" w:w="704"/>
            <w:vMerge w:val="restart"/>
            <w:tcBorders>
              <w:top w:val="single" w:color="auto" w:sz="6" w:space="0"/>
              <w:left w:val="single" w:color="auto" w:sz="18" w:space="0"/>
              <w:right w:val="single" w:color="auto" w:sz="6" w:space="0"/>
            </w:tcBorders>
            <w:shd w:fill="BDD6EE" w:color="auto" w:val="clea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  <w:p>
            <w:pPr>
              <w:spacing w:before="100" w:beforeAutospacing="1" w:after="100" w:afterAutospacing="1"/>
              <w:rPr>
                <w:b/>
                <w:bCs/>
                <w:noProof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  <w:color w:val="000000"/>
                <w:sz w:val="16"/>
                <w:szCs w:val="16"/>
              </w:rPr>
              <w:t xml:space="preserve">  3.</w:t>
            </w:r>
          </w:p>
        </w:tc>
        <w:tc>
          <w:tcPr>
            <w:tcW w:type="dxa" w:w="168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Potpora u kretanju i obavljanju fizioloških potreba na siguran način</w:t>
            </w:r>
          </w:p>
          <w:p>
            <w:pPr>
              <w:spacing w:before="100" w:beforeAutospacing="1" w:after="100" w:afterAutospacing="1"/>
              <w:jc w:val="both"/>
              <w:rPr>
                <w:noProof/>
                <w:color w:val="000000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Pružanje neposredne potpore učeniku u obavljanju higijenskih potreba te osnovne zdravstvene zaštite i zaštite na radu 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6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14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5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25</w:t>
            </w:r>
          </w:p>
        </w:tc>
      </w:tr>
      <w:tr>
        <w:trPr>
          <w:trHeight w:val="703" w:hRule="atLeast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both"/>
              <w:rPr>
                <w:noProof/>
                <w:color w:val="000000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Pružanje neposredne potpore učeniku u kretanju 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5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20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0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25</w:t>
            </w:r>
          </w:p>
        </w:tc>
      </w:tr>
      <w:tr>
        <w:trPr>
          <w:trHeight w:val="1042" w:hRule="atLeast"/>
        </w:trPr>
        <w:tc>
          <w:tcPr>
            <w:tcW w:type="dxa" w:w="704"/>
            <w:vMerge w:val="continue"/>
            <w:tcBorders>
              <w:left w:val="single" w:color="auto" w:sz="18" w:space="0"/>
              <w:right w:val="single" w:color="auto" w:sz="6" w:space="0"/>
            </w:tcBorders>
            <w:shd w:fill="BDD6EE" w:color="auto" w:val="clear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type="dxa" w:w="1683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noProof/>
                <w:color w:val="000000"/>
              </w:rPr>
            </w:pPr>
          </w:p>
        </w:tc>
        <w:tc>
          <w:tcPr>
            <w:tcW w:type="dxa" w:w="226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Pružanje neposredne potpore učeniku pri uzimanju hrane i pića </w:t>
            </w:r>
          </w:p>
        </w:tc>
        <w:tc>
          <w:tcPr>
            <w:tcW w:type="dxa" w:w="85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ind w:left="360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4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18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3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25</w:t>
            </w:r>
          </w:p>
        </w:tc>
      </w:tr>
      <w:tr>
        <w:trPr>
          <w:trHeight w:val="401" w:hRule="atLeast"/>
        </w:trPr>
        <w:tc>
          <w:tcPr>
            <w:tcW w:type="dxa" w:w="5506"/>
            <w:gridSpan w:val="4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both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                                                                                   </w:t>
            </w:r>
            <w:r>
              <w:rPr>
                <w:b/>
                <w:noProof/>
                <w:color w:val="000000"/>
              </w:rPr>
              <w:t xml:space="preserve">Ukupno: </w:t>
            </w:r>
          </w:p>
        </w:tc>
        <w:tc>
          <w:tcPr>
            <w:tcW w:type="dxa" w:w="1010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10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90</w:t>
            </w:r>
          </w:p>
        </w:tc>
        <w:tc>
          <w:tcPr>
            <w:tcW w:type="dxa" w:w="708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122</w:t>
            </w:r>
          </w:p>
        </w:tc>
        <w:tc>
          <w:tcPr>
            <w:tcW w:type="dxa" w:w="567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38</w:t>
            </w:r>
          </w:p>
        </w:tc>
        <w:tc>
          <w:tcPr>
            <w:tcW w:type="dxa" w:w="993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250</w:t>
            </w:r>
          </w:p>
        </w:tc>
      </w:tr>
    </w:tbl>
    <w:p w14:paraId="7A29C09D">
      <w:pPr>
        <w:spacing w:before="100" w:beforeAutospacing="1" w:after="480" w:line="240" w:lineRule="auto"/>
        <w:jc w:val="both"/>
        <w:rPr>
          <w:rFonts w:ascii="Times New Roman" w:hAnsi="Times New Roman" w:cs="Times New Roman"/>
          <w:iCs/>
          <w:noProof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iCs/>
          <w:noProof/>
          <w:color w:val="000000"/>
          <w:sz w:val="20"/>
          <w:szCs w:val="20"/>
        </w:rPr>
        <w:t xml:space="preserve">NAPOMENA: </w:t>
      </w:r>
      <w:r>
        <w:rPr>
          <w:rFonts w:ascii="Times New Roman" w:hAnsi="Times New Roman" w:cs="Times New Roman"/>
          <w:iCs/>
          <w:noProof/>
          <w:color w:val="000000"/>
          <w:sz w:val="20"/>
          <w:szCs w:val="20"/>
        </w:rPr>
        <w:t xml:space="preserve">VPUP – vođeni proces učenja i poučavanja, UTR – učenje temeljeno na radu, SAP– samostalne aktivnosti polaznika</w:t>
      </w:r>
    </w:p>
    <w:p w14:paraId="3CA1FACA">
      <w:pPr>
        <w:spacing w:before="100" w:beforeAutospacing="1" w:after="480" w:line="240" w:lineRule="auto"/>
        <w:jc w:val="both"/>
        <w:rPr>
          <w:rFonts w:ascii="Times New Roman" w:hAnsi="Times New Roman" w:cs="Times New Roman"/>
          <w:iCs/>
          <w:noProof/>
          <w:color w:val="000000"/>
          <w:sz w:val="20"/>
          <w:szCs w:val="20"/>
        </w:rPr>
      </w:pPr>
    </w:p>
    <w:p w14:paraId="265AD4E8">
      <w:pPr>
        <w:pStyle w:val="Naslov1"/>
        <w:numPr>
          <w:ilvl w:val="0"/>
          <w:numId w:val="11"/>
        </w:numPr>
        <w:spacing w:before="100" w:beforeAutospacing="1" w:after="480" w:line="360" w:lineRule="auto"/>
        <w:rPr>
          <w:sz w:val="28"/>
          <w:szCs w:val="28"/>
        </w:rPr>
      </w:pPr>
      <w:bookmarkStart w:id="307" w:name="_Toc179578114"/>
      <w:bookmarkStart w:id="308" w:name="_Toc210485145"/>
      <w:r>
        <w:rPr>
          <w:sz w:val="28"/>
          <w:szCs w:val="28"/>
        </w:rPr>
        <w:t xml:space="preserve">Program učenja stranog jezika</w:t>
      </w:r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r>
        <w:rPr>
          <w:sz w:val="28"/>
          <w:szCs w:val="28"/>
        </w:rPr>
        <w:t xml:space="preserve"> – engleskog jezika i njemačkog jezika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opći</w:t>
      </w:r>
      <w:bookmarkEnd w:id="307"/>
      <w:bookmarkEnd w:id="308"/>
    </w:p>
    <w:p w14:paraId="27CA0CF0">
      <w:pPr>
        <w:pStyle w:val="StandardWeb"/>
        <w:spacing/>
        <w:jc w:val="both"/>
        <w:rPr/>
      </w:pPr>
      <w:r>
        <w:rPr/>
        <w:t xml:space="preserve">Škola ima verificirani program učenja engleskog općeg jezika i njemačkog općeg jezika na razini A1 i razini A2. Program </w:t>
      </w:r>
      <w:r>
        <w:rPr/>
        <w:t xml:space="preserve">za svaku razinu traje 140 sati.</w:t>
      </w:r>
    </w:p>
    <w:p w14:paraId="61BB764D">
      <w:pPr>
        <w:pStyle w:val="StandardWeb"/>
        <w:spacing/>
        <w:jc w:val="both"/>
        <w:rPr/>
      </w:pPr>
      <w:r>
        <w:rPr/>
        <w:t xml:space="preserve">Cilj nastave stranih jezika je razvijanje komunikacijskih kompetencija, tj. osposobljavanje polaznika za prikladnu komunikaciju na stranom jeziku u raznim situacijama: u strano</w:t>
      </w:r>
      <w:r>
        <w:rPr/>
        <w:t xml:space="preserve">-</w:t>
      </w:r>
      <w:r>
        <w:rPr/>
        <w:t xml:space="preserve">jezičnoj sredini, u vlastitoj zemlji sa stranim govornicima, na multinacionalnim skupovima i u drugim situacijama u kojima se moraju služiti stranim jezikom. To znači omogućiti polaznicima postizanje jezične kompetencije u svim jezičnim vještinama:</w:t>
      </w:r>
      <w:r>
        <w:rPr/>
        <w:t xml:space="preserve"> </w:t>
      </w:r>
      <w:r>
        <w:rPr/>
        <w:t xml:space="preserve">slušanju, čitanju, govornoj interakciji, govornoj produkciji i pisanju. Pritom se kod polaznika razvija razumijevanje i prihvaćanje novih i drukčijih kultura – </w:t>
      </w:r>
      <w:r>
        <w:rPr/>
        <w:t xml:space="preserve">interkulturalna</w:t>
      </w:r>
      <w:r>
        <w:rPr/>
        <w:t xml:space="preserve"> kompetencija i tolerancija – ali i svijest o vlastitoj kulturi.</w:t>
      </w:r>
    </w:p>
    <w:p w14:paraId="6FB654C4">
      <w:pPr>
        <w:pStyle w:val="StandardWeb"/>
        <w:spacing/>
        <w:jc w:val="both"/>
        <w:rPr/>
      </w:pPr>
      <w:r>
        <w:rPr/>
        <w:t xml:space="preserve">Polaznici se raspoređuju u grupe u skladu s dobi, potrebama i predznanjem.</w:t>
      </w:r>
      <w:r>
        <w:rPr/>
        <w:br/>
      </w:r>
      <w:r>
        <w:rPr/>
        <w:t xml:space="preserve">Praćenje napredovanja polaznika mora biti relevantno u odnosu na sadržaj i ciljeve programa, trajanje programa, potrebe i dob polaznika. Nastavnik konstantno provjerava napredak svakog polaznika i o tome vodi bilješke. Zajedničke provjere obavljaju se najmanje dvaput tijekom svakog modula da bi se provjerilo napredovanje polaznika</w:t>
      </w:r>
      <w:r>
        <w:rPr/>
        <w:t xml:space="preserve"> </w:t>
      </w:r>
      <w:r>
        <w:rPr/>
        <w:t xml:space="preserve">/</w:t>
      </w:r>
      <w:r>
        <w:rPr/>
        <w:t xml:space="preserve"> </w:t>
      </w:r>
      <w:r>
        <w:rPr/>
        <w:t xml:space="preserve">grupe, ali i kako bi se vidjelo na čemu je potrebno još poraditi.</w:t>
      </w:r>
    </w:p>
    <w:p w14:paraId="40DED984">
      <w:pPr>
        <w:pStyle w:val="StandardWeb"/>
        <w:spacing/>
        <w:jc w:val="both"/>
        <w:rPr/>
      </w:pPr>
      <w:r>
        <w:rPr/>
        <w:t xml:space="preserve">Tijekom trajanja modula može se koristiti i </w:t>
      </w:r>
      <w:r>
        <w:rPr/>
        <w:t xml:space="preserve">samoprocjena</w:t>
      </w:r>
      <w:r>
        <w:rPr/>
        <w:t xml:space="preserve"> uz primjenu Europske jezične mape kako bi polaznici preuzeli odgovornost za vlastito učenje i napredak. Na kraju modula, znanje polaznika vrednuje se pisanom i usmenom provjerom kao uvjetom za prelazak u sljedeći modul tečaja. Nakon položene provjere, polaznici dobivaju potvrdu o uspješno završenom modulu u okviru određenog stupnja.</w:t>
      </w:r>
    </w:p>
    <w:p w14:paraId="404B6F99">
      <w:pPr>
        <w:pStyle w:val="StandardWeb"/>
        <w:spacing/>
        <w:jc w:val="both"/>
        <w:rPr/>
      </w:pPr>
      <w:r>
        <w:rPr/>
        <w:t xml:space="preserve">Na kraju stupnja, provjeravaju se i ocjenjuju kompetencije stečene tijekom pohađanja svih modula. U pismenom dijelu se provjerava slušanje, pisanje i čitanje te vladanje jezičnim strukturama, a u usmenom dijelu govorna produkcija i govorna interakcija. Nakon položene provjere, polaznici dobivaju svjedodžbu o položenom stupnju prema pravilniku o javnim ispravama u obrazovanju odraslih.</w:t>
      </w:r>
    </w:p>
    <w:p w14:paraId="290527D6">
      <w:pPr>
        <w:pStyle w:val="StandardWeb"/>
        <w:spacing/>
        <w:jc w:val="both"/>
        <w:rPr/>
      </w:pPr>
      <w:r>
        <w:rPr/>
        <w:t xml:space="preserve">Posebno darovitim i motiviranim polaznicima, koji program svladavaju uspješnije i brže od ostalih, može se omogućiti ubrzanje (akceleracija) ranijim prelaskom na sljedeći modul unutar stupnja. Odluku o tome donose nastavnik i voditelj nastave uz pisano obrazloženje. Za akceleraciju s jednog na drugi stupanj, polaznik mora položiti ispit za stupanj koji pohađa i tako dokazati da može prijeći na sljedeći. Takav ispit podliježe postupku navedenom u odredbama Zakona o obrazovanju odraslih.</w:t>
      </w:r>
    </w:p>
    <w:p w14:paraId="421FF4C8">
      <w:pPr>
        <w:pStyle w:val="StandardWeb"/>
        <w:spacing w:after="600" w:afterAutospacing="0"/>
        <w:jc w:val="both"/>
        <w:rPr/>
      </w:pPr>
      <w:r>
        <w:rPr/>
        <w:t xml:space="preserve">Pri ocjenjivanju korištenja stranog jezika osnovni je kriterij stupanj komunikacijske uspješnosti, tj. razumljivost i kvaliteta govora.</w:t>
      </w:r>
    </w:p>
    <w:p w14:paraId="31A13062">
      <w:pPr>
        <w:pStyle w:val="Naslov1"/>
        <w:numPr>
          <w:ilvl w:val="0"/>
          <w:numId w:val="11"/>
        </w:numPr>
        <w:spacing w:before="100" w:beforeAutospacing="1" w:after="480"/>
        <w:rPr>
          <w:sz w:val="28"/>
          <w:szCs w:val="28"/>
        </w:rPr>
      </w:pPr>
      <w:bookmarkStart w:id="309" w:name="_Toc179578115"/>
      <w:bookmarkStart w:id="310" w:name="_Toc210485146"/>
      <w:r>
        <w:rPr>
          <w:sz w:val="28"/>
          <w:szCs w:val="28"/>
        </w:rPr>
        <w:t xml:space="preserve">Program učenja hrvatskoga jezika za strance – opći</w:t>
      </w:r>
      <w:bookmarkEnd w:id="309"/>
      <w:bookmarkEnd w:id="310"/>
    </w:p>
    <w:p w14:paraId="78373131">
      <w:pPr>
        <w:pStyle w:val="StandardWeb"/>
        <w:spacing/>
        <w:jc w:val="both"/>
        <w:rPr/>
      </w:pPr>
      <w:r>
        <w:rPr/>
        <w:t xml:space="preserve">Škola ima verificirani program učenja hrvatskoga jezika za strance na razini</w:t>
      </w:r>
      <w:r>
        <w:rPr/>
        <w:t xml:space="preserve">  A1 (140 sati),      A2 (140 sati), B1 (280 sati), B2 (140 sati)</w:t>
      </w:r>
      <w:r>
        <w:rPr/>
        <w:t xml:space="preserve">, C1 (280 sati), C2 (140 sati).</w:t>
      </w:r>
    </w:p>
    <w:p w14:paraId="6DCEBE84">
      <w:pPr>
        <w:pStyle w:val="StandardWeb"/>
        <w:spacing/>
        <w:jc w:val="both"/>
        <w:rPr/>
      </w:pPr>
      <w:r>
        <w:rPr/>
        <w:t xml:space="preserve">Cilj učenja hrvatskoga jezika kao stranoga jest osposobiti polaznike za prikladnu komunikaciju na stranom jeziku u raznim situacijama: u strano</w:t>
      </w:r>
      <w:r>
        <w:rPr/>
        <w:t xml:space="preserve">-</w:t>
      </w:r>
      <w:r>
        <w:rPr/>
        <w:t xml:space="preserve">jezičnoj sredini, u vlastitoj zemlji sa stranim govornicima, na multinacionalnim skupovima i u drugim situacijama u kojima se moraju služiti stranim jezikom te im omogućiti postizanje jezične kompetencije u svim jezičnim djelatnostima: slušanju, čitanju, govorenju i pisanju. Pritom se kod polaznika razvija razumijevanje i prihvaćanje novih i drukčijih kultura – </w:t>
      </w:r>
      <w:r>
        <w:rPr/>
        <w:t xml:space="preserve">interkulturalna</w:t>
      </w:r>
      <w:r>
        <w:rPr/>
        <w:t xml:space="preserve"> kompetencija i tolerancija – ali i svijest o vlastitoj kulturi.</w:t>
      </w:r>
    </w:p>
    <w:p w14:paraId="0727C676">
      <w:pPr>
        <w:pStyle w:val="StandardWeb"/>
        <w:spacing/>
        <w:jc w:val="both"/>
        <w:rPr/>
      </w:pPr>
      <w:r>
        <w:rPr/>
        <w:t xml:space="preserve">Metodološki pristup prilagođava se polaznicima. Odabire se onaj pristup kojim će se najuspješnije ispuniti postavljeni ciljevi. Polaznici jezik svladavaju slušanjem, čitanjem, govornom interakcijom, govornom produkcijom, pisanjem te razvijanjem komunikacijskih strategija i jezičnih kompetencija uz pouku o načinu učenja kroz različite oblike rada, od minimalno potrebnog frontalnog rada do rada u skupinama, u paru i individualnog rada. Nastavnici stalno prate potrebe korisnika i usavršavaju se kako bi tim potrebama što bolje udovoljili.</w:t>
      </w:r>
    </w:p>
    <w:p w14:paraId="1F8E0E35">
      <w:pPr>
        <w:pStyle w:val="StandardWeb"/>
        <w:spacing/>
        <w:jc w:val="both"/>
        <w:rPr/>
      </w:pPr>
    </w:p>
    <w:p w14:paraId="678178B1">
      <w:pPr>
        <w:pStyle w:val="StandardWeb"/>
        <w:spacing/>
        <w:jc w:val="both"/>
        <w:rPr/>
      </w:pPr>
    </w:p>
    <w:p w14:paraId="239A7685">
      <w:pPr>
        <w:pStyle w:val="StandardWeb"/>
        <w:spacing/>
        <w:jc w:val="both"/>
        <w:rPr/>
      </w:pPr>
    </w:p>
    <w:p w14:paraId="6F8B79E4">
      <w:pPr>
        <w:pStyle w:val="Naslov1"/>
        <w:numPr>
          <w:ilvl w:val="0"/>
          <w:numId w:val="11"/>
        </w:numPr>
        <w:spacing w:before="100" w:beforeAutospacing="1" w:after="480"/>
        <w:rPr>
          <w:sz w:val="28"/>
          <w:szCs w:val="28"/>
        </w:rPr>
      </w:pPr>
      <w:bookmarkStart w:id="311" w:name="_Toc52269931"/>
      <w:bookmarkStart w:id="312" w:name="_Toc52271388"/>
      <w:bookmarkStart w:id="313" w:name="_Toc52271662"/>
      <w:bookmarkStart w:id="314" w:name="_Toc179578116"/>
      <w:bookmarkStart w:id="315" w:name="_Toc210485147"/>
      <w:r>
        <w:rPr>
          <w:sz w:val="28"/>
          <w:szCs w:val="28"/>
        </w:rPr>
        <w:t xml:space="preserve">Plan ispita</w:t>
      </w:r>
      <w:bookmarkEnd w:id="311"/>
      <w:bookmarkEnd w:id="312"/>
      <w:bookmarkEnd w:id="313"/>
      <w:bookmarkEnd w:id="314"/>
      <w:bookmarkEnd w:id="315"/>
    </w:p>
    <w:p w14:paraId="4D7E1AB1">
      <w:pPr>
        <w:pStyle w:val="Naslov2"/>
        <w:numPr>
          <w:ilvl w:val="1"/>
          <w:numId w:val="11"/>
        </w:numPr>
        <w:spacing/>
        <w:rPr>
          <w:rFonts w:eastAsia="Calibri"/>
          <w:lang w:eastAsia="hr-HR"/>
        </w:rPr>
      </w:pPr>
      <w:bookmarkStart w:id="316" w:name="_Toc492894211"/>
      <w:bookmarkStart w:id="317" w:name="_Toc20425836"/>
      <w:bookmarkStart w:id="318" w:name="_Toc20425975"/>
      <w:bookmarkStart w:id="319" w:name="_Toc20426047"/>
      <w:bookmarkStart w:id="320" w:name="_Toc20426136"/>
      <w:bookmarkStart w:id="321" w:name="_Toc20426203"/>
      <w:bookmarkStart w:id="322" w:name="_Toc20853787"/>
      <w:bookmarkStart w:id="323" w:name="_Toc22651133"/>
      <w:bookmarkStart w:id="324" w:name="_Toc22655452"/>
      <w:bookmarkStart w:id="325" w:name="_Toc52265461"/>
      <w:bookmarkStart w:id="326" w:name="_Toc52266127"/>
      <w:bookmarkStart w:id="327" w:name="_Toc52266933"/>
      <w:bookmarkStart w:id="328" w:name="_Toc52267432"/>
      <w:bookmarkStart w:id="329" w:name="_Toc52267549"/>
      <w:bookmarkStart w:id="330" w:name="_Toc52269932"/>
      <w:bookmarkStart w:id="331" w:name="_Toc52271389"/>
      <w:bookmarkStart w:id="332" w:name="_Toc52271663"/>
      <w:bookmarkStart w:id="333" w:name="_Toc179578117"/>
      <w:bookmarkStart w:id="334" w:name="_Toc210485148"/>
      <w:r>
        <w:rPr/>
        <w:t xml:space="preserve">Ispiti</w:t>
      </w:r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</w:p>
    <w:p w14:paraId="2C8372BD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Ispiti se provode u dogov</w:t>
      </w:r>
      <w:r>
        <w:rPr>
          <w:rFonts w:ascii="Times New Roman" w:hAnsi="Times New Roman" w:cs="Times New Roman"/>
          <w:sz w:val="24"/>
          <w:szCs w:val="24"/>
        </w:rPr>
        <w:t xml:space="preserve">oru s voditeljicom obrazovanja</w:t>
      </w:r>
      <w:r>
        <w:rPr>
          <w:rFonts w:ascii="Times New Roman" w:hAnsi="Times New Roman" w:cs="Times New Roman"/>
          <w:sz w:val="24"/>
          <w:szCs w:val="24"/>
        </w:rPr>
        <w:t xml:space="preserve">. Polaznici su dužni ispit prijaviti najkasnije tri dana prije ispitnog roka.</w:t>
      </w:r>
    </w:p>
    <w:p w14:paraId="62A08299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9827C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2E588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D9A7AC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A0B69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BBE32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B5CD6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0DDA8">
      <w:pPr>
        <w:pStyle w:val="Naslov2"/>
        <w:numPr>
          <w:ilvl w:val="1"/>
          <w:numId w:val="11"/>
        </w:numPr>
        <w:spacing w:before="480"/>
        <w:rPr>
          <w:rFonts w:eastAsia="Calibri"/>
          <w:color w:val="000000"/>
          <w:lang w:eastAsia="hr-HR"/>
        </w:rPr>
      </w:pPr>
      <w:bookmarkStart w:id="335" w:name="_Toc179578118"/>
      <w:bookmarkStart w:id="336" w:name="_Toc210485149"/>
      <w:r>
        <w:rPr/>
        <w:t xml:space="preserve">Kalendar izradbe i obrane završnog rada</w:t>
      </w:r>
      <w:bookmarkEnd w:id="335"/>
      <w:bookmarkEnd w:id="336"/>
      <w:r>
        <w:rPr/>
        <w:t xml:space="preserve"> </w:t>
      </w:r>
    </w:p>
    <w:tbl>
      <w:tblPr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314"/>
        <w:gridCol w:w="1737"/>
        <w:gridCol w:w="1640"/>
        <w:gridCol w:w="13"/>
        <w:gridCol w:w="1633"/>
      </w:tblGrid>
      <w:tr>
        <w:trPr>
          <w:trHeight w:val="330" w:hRule="atLeast"/>
          <w:jc w:val="center"/>
        </w:trPr>
        <w:tc>
          <w:tcPr>
            <w:tcW w:type="dxa" w:w="4314"/>
            <w:vMerge w:val="restart"/>
            <w:tcBorders>
              <w:top w:val="thinThickSmallGap" w:color="1F4E79" w:sz="24" w:space="0"/>
              <w:left w:val="thinThickSmallGap" w:color="1F4E79" w:sz="24" w:space="0"/>
              <w:right w:val="thinThickSmallGap" w:color="1F4E79" w:sz="24" w:space="0"/>
            </w:tcBorders>
            <w:shd w:fill="FFF2CC" w:color="auto" w:val="clear"/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/>
                <w:bCs/>
                <w:lang w:eastAsia="hr-HR"/>
              </w:rPr>
              <w:t xml:space="preserve">AKTIVNOST</w:t>
            </w:r>
          </w:p>
        </w:tc>
        <w:tc>
          <w:tcPr>
            <w:tcW w:type="dxa" w:w="5023"/>
            <w:gridSpan w:val="4"/>
            <w:tcBorders>
              <w:top w:val="thinThickSmallGap" w:color="1F4E79" w:sz="24" w:space="0"/>
              <w:left w:val="thinThickSmallGap" w:color="1F4E79" w:sz="24" w:space="0"/>
              <w:right w:val="thinThickSmallGap" w:color="1F4E79" w:sz="24" w:space="0"/>
            </w:tcBorders>
            <w:shd w:fill="FFF2CC" w:color="auto" w:val="clear"/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/>
                <w:bCs/>
                <w:lang w:eastAsia="hr-HR"/>
              </w:rPr>
              <w:t xml:space="preserve">VRIJEME PROVEDBE</w:t>
            </w:r>
          </w:p>
        </w:tc>
      </w:tr>
      <w:tr>
        <w:trPr>
          <w:trHeight w:val="240" w:hRule="atLeast"/>
          <w:jc w:val="center"/>
        </w:trPr>
        <w:tc>
          <w:tcPr>
            <w:tcW w:type="dxa" w:w="4314"/>
            <w:vMerge w:val="continue"/>
            <w:tcBorders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</w:p>
        </w:tc>
        <w:tc>
          <w:tcPr>
            <w:tcW w:type="dxa" w:w="1737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/>
                <w:bCs/>
                <w:lang w:eastAsia="hr-HR"/>
              </w:rPr>
              <w:t xml:space="preserve">ZIMSKI </w:t>
            </w:r>
          </w:p>
        </w:tc>
        <w:tc>
          <w:tcPr>
            <w:tcW w:type="dxa" w:w="1653"/>
            <w:gridSpan w:val="2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/>
                <w:bCs/>
                <w:lang w:eastAsia="hr-HR"/>
              </w:rPr>
              <w:t xml:space="preserve">LJETNI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</w:p>
        </w:tc>
        <w:tc>
          <w:tcPr>
            <w:tcW w:type="dxa" w:w="1633"/>
            <w:tcBorders>
              <w:top w:val="thinThickSmallGap" w:color="1F4E79" w:sz="24" w:space="0"/>
              <w:left w:val="thinThickSmallGap" w:color="1F4E79" w:sz="24" w:space="0"/>
              <w:bottom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/>
                <w:bCs/>
                <w:lang w:eastAsia="hr-HR"/>
              </w:rPr>
              <w:t xml:space="preserve">JESENSKI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lang w:eastAsia="hr-HR"/>
              </w:rPr>
            </w:pPr>
          </w:p>
        </w:tc>
      </w:tr>
      <w:tr>
        <w:trPr>
          <w:trHeight w:val="240" w:hRule="atLeast"/>
          <w:jc w:val="center"/>
        </w:trPr>
        <w:tc>
          <w:tcPr>
            <w:tcW w:type="dxa" w:w="4314"/>
            <w:tcBorders>
              <w:top w:val="thinThickSmallGap" w:color="1F4E79" w:sz="24" w:space="0"/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Donošenje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vremenika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 o izrad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b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i i obrani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z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avršnog rada</w:t>
            </w:r>
          </w:p>
        </w:tc>
        <w:tc>
          <w:tcPr>
            <w:tcW w:type="dxa" w:w="5023"/>
            <w:gridSpan w:val="4"/>
            <w:tcBorders>
              <w:top w:val="thinThickSmallGap" w:color="1F4E79" w:sz="24" w:space="0"/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30. 9.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</w:tr>
      <w:tr>
        <w:trPr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Objava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vremenika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 izradbe i obrane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z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avršnog rada</w:t>
            </w:r>
          </w:p>
        </w:tc>
        <w:tc>
          <w:tcPr>
            <w:tcW w:type="dxa" w:w="5023"/>
            <w:gridSpan w:val="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6. 10.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</w:tr>
      <w:tr>
        <w:trPr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Informiranje polaznika o uvjetima i načinu izradbe i obrane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z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avršnog rada</w:t>
            </w:r>
          </w:p>
        </w:tc>
        <w:tc>
          <w:tcPr>
            <w:tcW w:type="dxa" w:w="5023"/>
            <w:gridSpan w:val="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14.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 10.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</w:tr>
      <w:tr>
        <w:trPr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Donošenje tema za završni rad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(na prijedlog stručnih vijeća)</w:t>
            </w:r>
          </w:p>
        </w:tc>
        <w:tc>
          <w:tcPr>
            <w:tcW w:type="dxa" w:w="5023"/>
            <w:gridSpan w:val="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20. 10.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</w:tr>
      <w:tr>
        <w:trPr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Izbor tema za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z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avršni rad </w:t>
            </w:r>
          </w:p>
        </w:tc>
        <w:tc>
          <w:tcPr>
            <w:tcW w:type="dxa" w:w="5023"/>
            <w:gridSpan w:val="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ind w:left="323" w:hanging="323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31. 10.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</w:tr>
      <w:tr>
        <w:trPr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Određivanje i imenovanje ispitnih povjerenstava i prosudbenog odbora</w:t>
            </w:r>
          </w:p>
        </w:tc>
        <w:tc>
          <w:tcPr>
            <w:tcW w:type="dxa" w:w="5023"/>
            <w:gridSpan w:val="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27.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 11.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</w:tr>
      <w:tr>
        <w:trPr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Prijava obrane 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z</w:t>
            </w: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avršnog rada</w:t>
            </w:r>
          </w:p>
        </w:tc>
        <w:tc>
          <w:tcPr>
            <w:tcW w:type="dxa" w:w="1737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27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 11.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2026.</w:t>
            </w:r>
          </w:p>
        </w:tc>
        <w:tc>
          <w:tcPr>
            <w:tcW w:type="dxa" w:w="1640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31. 3.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6"/>
            <w:gridSpan w:val="2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30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 7.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</w:tr>
      <w:tr>
        <w:trPr>
          <w:trHeight w:val="480" w:hRule="atLeast"/>
          <w:jc w:val="center"/>
        </w:trPr>
        <w:tc>
          <w:tcPr>
            <w:tcW w:type="dxa" w:w="4314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ind w:left="27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Predaja pisanog dijela izradbe završnog rada</w:t>
            </w:r>
          </w:p>
        </w:tc>
        <w:tc>
          <w:tcPr>
            <w:tcW w:type="dxa" w:w="1737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15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 1.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0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 15. 6.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6"/>
            <w:gridSpan w:val="2"/>
            <w:tcBorders>
              <w:left w:val="thinThickSmallGap" w:color="1F4E79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do</w:t>
            </w: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 8.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</w:tr>
      <w:tr>
        <w:trPr>
          <w:trHeight w:val="480" w:hRule="atLeast"/>
          <w:jc w:val="center"/>
        </w:trPr>
        <w:tc>
          <w:tcPr>
            <w:tcW w:type="dxa" w:w="4314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ind w:left="27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Usmena obrana završnog rada</w:t>
            </w:r>
          </w:p>
        </w:tc>
        <w:tc>
          <w:tcPr>
            <w:tcW w:type="dxa" w:w="1737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3. 2. 2027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0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1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 7.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– 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9. 7. 2027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6"/>
            <w:gridSpan w:val="2"/>
            <w:tcBorders>
              <w:left w:val="thinThickSmallGap" w:color="1F4E79" w:sz="24" w:space="0"/>
              <w:bottom w:val="single" w:color="auto" w:sz="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</w:p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27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 8.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</w:tr>
      <w:tr>
        <w:trPr>
          <w:trHeight w:val="480" w:hRule="atLeast"/>
          <w:jc w:val="center"/>
        </w:trPr>
        <w:tc>
          <w:tcPr>
            <w:tcW w:type="dxa" w:w="4314"/>
            <w:tcBorders>
              <w:left w:val="thinThickSmallGap" w:color="1F4E79" w:sz="24" w:space="0"/>
              <w:bottom w:val="thickThin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ind w:left="27"/>
              <w:textAlignment w:val="baseline"/>
              <w:rPr>
                <w:rFonts w:ascii="Times New Roman" w:hAnsi="Times New Roman" w:eastAsia="Calibri" w:cs="Times New Roman"/>
                <w:bCs/>
                <w:lang w:eastAsia="hr-HR"/>
              </w:rPr>
            </w:pPr>
            <w:r>
              <w:rPr>
                <w:rFonts w:ascii="Times New Roman" w:hAnsi="Times New Roman" w:eastAsia="Calibri" w:cs="Times New Roman"/>
                <w:bCs/>
                <w:lang w:eastAsia="hr-HR"/>
              </w:rPr>
              <w:t xml:space="preserve">Podjela svjedodžbi o završnom radu</w:t>
            </w:r>
          </w:p>
        </w:tc>
        <w:tc>
          <w:tcPr>
            <w:tcW w:type="dxa" w:w="1737"/>
            <w:tcBorders>
              <w:left w:val="thinThickSmallGap" w:color="1F4E79" w:sz="24" w:space="0"/>
              <w:bottom w:val="thickThin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10. 2. 2026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0"/>
            <w:tcBorders>
              <w:left w:val="thinThickSmallGap" w:color="1F4E79" w:sz="24" w:space="0"/>
              <w:bottom w:val="thickThin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30. 7. 2026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  <w:tc>
          <w:tcPr>
            <w:tcW w:type="dxa" w:w="1646"/>
            <w:gridSpan w:val="2"/>
            <w:tcBorders>
              <w:left w:val="thinThickSmallGap" w:color="1F4E79" w:sz="24" w:space="0"/>
              <w:bottom w:val="thickThinSmallGap" w:color="2F5496" w:sz="24" w:space="0"/>
              <w:right w:val="thinThickSmallGap" w:color="1F4E79" w:sz="24" w:space="0"/>
            </w:tcBorders>
            <w:vAlign w:val="center"/>
          </w:tcPr>
          <w:p>
            <w:pPr>
              <w:overflowPunct w:val="false"/>
              <w:autoSpaceDE w:val="false"/>
              <w:autoSpaceDN w:val="false"/>
              <w:adjustRightInd w:val="false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lang w:eastAsia="hr-HR"/>
              </w:rPr>
            </w:pPr>
            <w:r>
              <w:rPr>
                <w:rFonts w:ascii="Times New Roman" w:hAnsi="Times New Roman" w:eastAsia="Calibri" w:cs="Times New Roman"/>
                <w:lang w:eastAsia="hr-HR"/>
              </w:rPr>
              <w:t xml:space="preserve">10. 9. 2026</w:t>
            </w:r>
            <w:r>
              <w:rPr>
                <w:rFonts w:ascii="Times New Roman" w:hAnsi="Times New Roman" w:eastAsia="Calibri" w:cs="Times New Roman"/>
                <w:lang w:eastAsia="hr-HR"/>
              </w:rPr>
              <w:t xml:space="preserve">.</w:t>
            </w:r>
          </w:p>
        </w:tc>
      </w:tr>
    </w:tbl>
    <w:p w14:paraId="3E8601D5">
      <w:pPr>
        <w:pStyle w:val="Naslov1"/>
        <w:spacing w:after="480"/>
        <w:ind w:left="420"/>
        <w:rPr>
          <w:sz w:val="28"/>
          <w:szCs w:val="28"/>
        </w:rPr>
      </w:pPr>
      <w:bookmarkStart w:id="337" w:name="_Toc20425842"/>
      <w:bookmarkStart w:id="338" w:name="_Toc20425981"/>
      <w:bookmarkStart w:id="339" w:name="_Toc20426053"/>
      <w:bookmarkStart w:id="340" w:name="_Toc20426142"/>
      <w:bookmarkStart w:id="341" w:name="_Toc20426209"/>
      <w:bookmarkStart w:id="342" w:name="_Toc20853791"/>
      <w:bookmarkStart w:id="343" w:name="_Toc22651137"/>
      <w:bookmarkStart w:id="344" w:name="_Toc22655456"/>
      <w:bookmarkStart w:id="345" w:name="_Toc52265465"/>
      <w:bookmarkStart w:id="346" w:name="_Toc52266131"/>
      <w:bookmarkStart w:id="347" w:name="_Toc52266937"/>
      <w:bookmarkStart w:id="348" w:name="_Toc52267436"/>
      <w:bookmarkStart w:id="349" w:name="_Toc52267553"/>
      <w:bookmarkStart w:id="350" w:name="_Toc52269936"/>
      <w:bookmarkStart w:id="351" w:name="_Toc52271393"/>
      <w:bookmarkStart w:id="352" w:name="_Toc52271667"/>
      <w:bookmarkStart w:id="353" w:name="_Toc179578120"/>
      <w:bookmarkStart w:id="354" w:name="_Toc210485151"/>
    </w:p>
    <w:p w14:paraId="2F6EADE4">
      <w:pPr>
        <w:pStyle w:val="Naslov1"/>
        <w:spacing w:after="480"/>
        <w:ind w:left="420"/>
        <w:rPr>
          <w:sz w:val="28"/>
          <w:szCs w:val="28"/>
        </w:rPr>
      </w:pPr>
    </w:p>
    <w:p w14:paraId="5886AB0E">
      <w:pPr>
        <w:spacing/>
        <w:rPr>
          <w:lang w:eastAsia="hr-HR"/>
        </w:rPr>
      </w:pPr>
    </w:p>
    <w:p w14:paraId="1BAE75E0">
      <w:pPr>
        <w:spacing/>
        <w:rPr>
          <w:lang w:eastAsia="hr-HR"/>
        </w:rPr>
      </w:pPr>
    </w:p>
    <w:p w14:paraId="1562C7F8">
      <w:pPr>
        <w:spacing/>
        <w:rPr>
          <w:lang w:eastAsia="hr-HR"/>
        </w:rPr>
      </w:pPr>
    </w:p>
    <w:p w14:paraId="38A029F1">
      <w:pPr>
        <w:spacing/>
        <w:rPr>
          <w:lang w:eastAsia="hr-HR"/>
        </w:rPr>
      </w:pPr>
    </w:p>
    <w:p w14:paraId="714B53FD">
      <w:pPr>
        <w:spacing/>
        <w:rPr>
          <w:lang w:eastAsia="hr-HR"/>
        </w:rPr>
      </w:pPr>
    </w:p>
    <w:p w14:paraId="332AAE0D">
      <w:pPr>
        <w:spacing/>
        <w:rPr>
          <w:lang w:eastAsia="hr-HR"/>
        </w:rPr>
      </w:pPr>
    </w:p>
    <w:p w14:paraId="6750B9BE">
      <w:pPr>
        <w:pStyle w:val="Naslov1"/>
        <w:numPr>
          <w:ilvl w:val="0"/>
          <w:numId w:val="11"/>
        </w:numPr>
        <w:spacing w:after="480"/>
        <w:rPr>
          <w:sz w:val="28"/>
          <w:szCs w:val="28"/>
        </w:rPr>
      </w:pPr>
      <w:r>
        <w:rPr>
          <w:sz w:val="28"/>
          <w:szCs w:val="28"/>
        </w:rPr>
        <w:t xml:space="preserve">Plan i program rada </w:t>
      </w:r>
      <w:r>
        <w:rPr>
          <w:sz w:val="28"/>
          <w:szCs w:val="28"/>
        </w:rPr>
        <w:t xml:space="preserve">ravnatelj</w:t>
      </w:r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r>
        <w:rPr>
          <w:sz w:val="28"/>
          <w:szCs w:val="28"/>
        </w:rPr>
        <w:t xml:space="preserve">a</w:t>
      </w:r>
      <w:bookmarkEnd w:id="353"/>
      <w:bookmarkEnd w:id="354"/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10"/>
        <w:gridCol w:w="5400"/>
        <w:gridCol w:w="3429"/>
        <w:gridCol w:w="10"/>
      </w:tblGrid>
      <w:tr>
        <w:trPr>
          <w:gridAfter w:val="1"/>
          <w:wAfter w:type="dxa" w:w="10"/>
          <w:jc w:val="center"/>
        </w:trPr>
        <w:tc>
          <w:tcPr>
            <w:tcW w:type="dxa" w:w="5410"/>
            <w:gridSpan w:val="2"/>
            <w:tcBorders>
              <w:top w:val="thinThickSmallGap" w:color="C45911" w:sz="24" w:space="0"/>
              <w:left w:val="thinThickSmallGap" w:color="C45911" w:sz="24" w:space="0"/>
              <w:bottom w:val="double" w:color="ED7D31" w:sz="4" w:space="0"/>
              <w:right w:val="thinThickSmallGap" w:color="C45911" w:sz="24" w:space="0"/>
            </w:tcBorders>
            <w:shd w:fill="FFF2CC" w:color="auto" w:val="clear"/>
            <w:hideMark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ADRŽAJ RADA</w:t>
            </w:r>
          </w:p>
        </w:tc>
        <w:tc>
          <w:tcPr>
            <w:tcW w:type="dxa" w:w="3429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hideMark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RIJEME REALIZACIJE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thinThickSmallGap" w:color="C45911" w:sz="2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Raspis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ivanje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natječaj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za upis polaznika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Kontrola i potpisivanje matičnih knjiga i svjedodžbi o završnom ispitu</w:t>
            </w:r>
          </w:p>
        </w:tc>
        <w:tc>
          <w:tcPr>
            <w:tcW w:type="dxa" w:w="3439"/>
            <w:gridSpan w:val="2"/>
            <w:tcBorders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rpanj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Održa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vanje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sjednic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Nastavničkog vijeća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Imenova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nje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ovjerenstv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za utvrđivanje razlikovnih ispita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Imenova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nje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izvršitelje poslova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Sklapa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nje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ugovor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 djelu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Kontrola i potpisivanje razlikovnih ispita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Sudjelovanje u iz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radi godišnjeg plana i programa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kolovoz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ćenje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realizacij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nastave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istopad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Provjera upisa u registar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i matične knjige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tudeni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Imenovanje mentora i povjerenstva za završne ispite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Vođenje nastavničkog vijeća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rosinac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Provjera i potpisivanje andragoške dokumentacije nakon završnih ispita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eljača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, lipanj, kolovoz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Pregled vođenj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andragoške dokumentacije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ijekom školske godine</w:t>
            </w:r>
          </w:p>
        </w:tc>
      </w:tr>
      <w:tr>
        <w:tblPrEx>
          <w:tblBorders>
            <w:top w:val="double" w:color="ED7D31" w:sz="4" w:space="0"/>
            <w:left w:val="double" w:color="ED7D31" w:sz="4" w:space="0"/>
            <w:bottom w:val="double" w:color="ED7D31" w:sz="4" w:space="0"/>
            <w:right w:val="double" w:color="ED7D31" w:sz="4" w:space="0"/>
            <w:insideH w:val="double" w:color="ED7D31" w:sz="4" w:space="0"/>
            <w:insideV w:val="double" w:color="ED7D31" w:sz="4" w:space="0"/>
          </w:tblBorders>
          <w:tblCellMar/>
        </w:tblPrEx>
        <w:trPr>
          <w:gridBefore w:val="1"/>
          <w:wBefore w:type="dxa" w:w="10"/>
          <w:jc w:val="center"/>
        </w:trPr>
        <w:tc>
          <w:tcPr>
            <w:tcW w:type="dxa" w:w="5400"/>
            <w:tcBorders>
              <w:top w:val="double" w:color="C45911" w:sz="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Kontrol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i potpis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ivanje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svjedodžb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i matičn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ih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knjig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</w:t>
            </w:r>
          </w:p>
        </w:tc>
        <w:tc>
          <w:tcPr>
            <w:tcW w:type="dxa" w:w="3439"/>
            <w:gridSpan w:val="2"/>
            <w:tcBorders>
              <w:top w:val="double" w:color="C45911" w:sz="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hideMark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veljača, l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ipanj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, kolovoz</w:t>
            </w:r>
          </w:p>
        </w:tc>
      </w:tr>
    </w:tbl>
    <w:p w14:paraId="1FDCC7D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bookmarkStart w:id="355" w:name="_Toc52269937"/>
    </w:p>
    <w:p w14:paraId="310B8346">
      <w:pPr>
        <w:pStyle w:val="Naslov1"/>
        <w:numPr>
          <w:ilvl w:val="0"/>
          <w:numId w:val="11"/>
        </w:numPr>
        <w:spacing w:before="100" w:beforeAutospacing="1" w:after="480"/>
        <w:rPr>
          <w:sz w:val="28"/>
          <w:szCs w:val="28"/>
        </w:rPr>
      </w:pPr>
      <w:bookmarkStart w:id="356" w:name="_Toc52271394"/>
      <w:bookmarkStart w:id="357" w:name="_Toc52271668"/>
      <w:bookmarkStart w:id="358" w:name="_Toc179578121"/>
      <w:bookmarkStart w:id="359" w:name="_Toc210485152"/>
      <w:r>
        <w:rPr>
          <w:sz w:val="28"/>
          <w:szCs w:val="28"/>
        </w:rPr>
        <w:t xml:space="preserve">Plan i program rada voditelj</w:t>
      </w:r>
      <w:bookmarkEnd w:id="355"/>
      <w:bookmarkEnd w:id="356"/>
      <w:bookmarkEnd w:id="357"/>
      <w:r>
        <w:rPr>
          <w:sz w:val="28"/>
          <w:szCs w:val="28"/>
        </w:rPr>
        <w:t xml:space="preserve">ice obrazovanja odraslih</w:t>
      </w:r>
      <w:bookmarkEnd w:id="358"/>
      <w:bookmarkEnd w:id="359"/>
    </w:p>
    <w:tbl>
      <w:tblPr>
        <w:tblW w:w="0" w:type="auto"/>
        <w:jc w:val="center"/>
        <w:tblBorders>
          <w:top w:val="double" w:color="4472C4" w:sz="4" w:space="0"/>
          <w:left w:val="double" w:color="4472C4" w:sz="4" w:space="0"/>
          <w:bottom w:val="double" w:color="4472C4" w:sz="4" w:space="0"/>
          <w:right w:val="double" w:color="4472C4" w:sz="4" w:space="0"/>
          <w:insideH w:val="double" w:color="4472C4" w:sz="4" w:space="0"/>
          <w:insideV w:val="double" w:color="4472C4" w:sz="4" w:space="0"/>
        </w:tblBorders>
        <w:tblLook w:val="01E0" w:firstRow="1" w:lastRow="1" w:firstColumn="1" w:lastColumn="1" w:noHBand="0" w:noVBand="0"/>
      </w:tblPr>
      <w:tblGrid>
        <w:gridCol w:w="6004"/>
        <w:gridCol w:w="2978"/>
      </w:tblGrid>
      <w:tr>
        <w:trPr>
          <w:jc w:val="center"/>
        </w:trPr>
        <w:tc>
          <w:tcPr>
            <w:tcW w:type="dxa" w:w="600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hideMark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ADRŽAJ RADA</w:t>
            </w:r>
          </w:p>
        </w:tc>
        <w:tc>
          <w:tcPr>
            <w:tcW w:type="dxa" w:w="2978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hideMark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RIJEME REALIZACIJE</w:t>
            </w:r>
          </w:p>
        </w:tc>
      </w:tr>
      <w:tr>
        <w:trPr>
          <w:trHeight w:val="3309" w:hRule="atLeast"/>
          <w:jc w:val="center"/>
        </w:trPr>
        <w:tc>
          <w:tcPr>
            <w:tcW w:type="dxa" w:w="600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rganizirati upise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zvršiti kalkulaciju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nformirati polaznike o načinu rada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tvrditi fond sati po predmetima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držati predavanje – obrazovanje odraslih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rganizirati jesenske završne ispite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pisati matične knjige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tvoriti imenik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apisati predmete u indekse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rganizirati početak konzultacija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pisati registre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klopiti ugovore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apisati plan i program rada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sk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laditi dokumentaciju sa Zakonom</w:t>
            </w:r>
          </w:p>
        </w:tc>
        <w:tc>
          <w:tcPr>
            <w:tcW w:type="dxa" w:w="2978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srpanj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rujan</w:t>
            </w:r>
          </w:p>
        </w:tc>
      </w:tr>
      <w:tr>
        <w:trPr>
          <w:jc w:val="center"/>
        </w:trPr>
        <w:tc>
          <w:tcPr>
            <w:tcW w:type="dxa" w:w="6004"/>
            <w:tcBorders>
              <w:top w:val="thinThickSmallGap" w:color="ED7D31" w:sz="2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rganizirati početak nastavne godine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tvoriti pedagošku dokumentaciju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rganizirati i voditi utvrđivanje razlikovnih ispita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apisati godišnji plan i program rada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ačiniti satnicu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ratiti nastavu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rimati polaznike na dnevna savjetovanja i informacije</w:t>
            </w:r>
          </w:p>
        </w:tc>
        <w:tc>
          <w:tcPr>
            <w:tcW w:type="dxa" w:w="2978"/>
            <w:tcBorders>
              <w:top w:val="thinThickSmallGap" w:color="ED7D31" w:sz="2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ujan</w:t>
            </w:r>
          </w:p>
        </w:tc>
      </w:tr>
    </w:tbl>
    <w:p w14:paraId="41E337A8">
      <w:pPr>
        <w:spacing w:before="100" w:beforeAutospacing="1" w:after="100" w:afterAutospacing="1"/>
        <w:rPr>
          <w:lang w:eastAsia="hr-HR"/>
        </w:rPr>
      </w:pPr>
      <w:bookmarkStart w:id="360" w:name="_Toc492894217"/>
      <w:bookmarkStart w:id="361" w:name="_Toc20425844"/>
      <w:bookmarkStart w:id="362" w:name="_Toc20425983"/>
      <w:bookmarkStart w:id="363" w:name="_Toc20426055"/>
      <w:bookmarkStart w:id="364" w:name="_Toc20426144"/>
      <w:bookmarkStart w:id="365" w:name="_Toc20426211"/>
      <w:bookmarkStart w:id="366" w:name="_Toc20853793"/>
      <w:bookmarkStart w:id="367" w:name="_Toc22651139"/>
      <w:bookmarkStart w:id="368" w:name="_Toc22655458"/>
      <w:bookmarkStart w:id="369" w:name="_Toc52265467"/>
      <w:bookmarkStart w:id="370" w:name="_Toc52266133"/>
      <w:bookmarkStart w:id="371" w:name="_Toc52266939"/>
      <w:bookmarkStart w:id="372" w:name="_Toc52267438"/>
      <w:bookmarkStart w:id="373" w:name="_Toc52267555"/>
      <w:bookmarkStart w:id="374" w:name="_Toc52269938"/>
      <w:bookmarkStart w:id="375" w:name="_Toc52271395"/>
      <w:bookmarkStart w:id="376" w:name="_Toc52271669"/>
      <w:bookmarkStart w:id="377" w:name="_Toc179578122"/>
    </w:p>
    <w:tbl>
      <w:tblPr>
        <w:tblW w:w="0" w:type="auto"/>
        <w:jc w:val="center"/>
        <w:tblBorders>
          <w:top w:val="double" w:color="4472C4" w:sz="4" w:space="0"/>
          <w:left w:val="double" w:color="4472C4" w:sz="4" w:space="0"/>
          <w:bottom w:val="double" w:color="4472C4" w:sz="4" w:space="0"/>
          <w:right w:val="double" w:color="4472C4" w:sz="4" w:space="0"/>
          <w:insideH w:val="double" w:color="4472C4" w:sz="4" w:space="0"/>
          <w:insideV w:val="double" w:color="4472C4" w:sz="4" w:space="0"/>
        </w:tblBorders>
        <w:tblLook w:val="01E0" w:firstRow="1" w:lastRow="1" w:firstColumn="1" w:lastColumn="1" w:noHBand="0" w:noVBand="0"/>
      </w:tblPr>
      <w:tblGrid>
        <w:gridCol w:w="6004"/>
        <w:gridCol w:w="2978"/>
      </w:tblGrid>
      <w:tr>
        <w:trPr>
          <w:jc w:val="center"/>
        </w:trPr>
        <w:tc>
          <w:tcPr>
            <w:tcW w:type="dxa" w:w="6004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hideMark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SADRŽAJ RADA</w:t>
            </w:r>
          </w:p>
        </w:tc>
        <w:tc>
          <w:tcPr>
            <w:tcW w:type="dxa" w:w="2978"/>
            <w:tcBorders>
              <w:top w:val="thinThickSmallGap" w:color="C45911" w:sz="2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2CC" w:color="auto" w:val="clear"/>
            <w:hideMark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hr-HR"/>
              </w:rPr>
              <w:t xml:space="preserve">VRIJEME REALIZACIJE</w:t>
            </w:r>
          </w:p>
        </w:tc>
      </w:tr>
      <w:tr>
        <w:trPr>
          <w:jc w:val="center"/>
        </w:trPr>
        <w:tc>
          <w:tcPr>
            <w:tcW w:type="dxa" w:w="6004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Organizirati ispite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Srediti andragošku dokumentaciju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Pratiti stručnu literaturu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Prikupiti literaturu za polaznike</w:t>
            </w:r>
          </w:p>
          <w:p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Vršiti obračun odrađenih sati</w:t>
            </w:r>
          </w:p>
        </w:tc>
        <w:tc>
          <w:tcPr>
            <w:tcW w:type="dxa" w:w="2978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tijekom nastavne godine</w:t>
            </w:r>
          </w:p>
        </w:tc>
      </w:tr>
      <w:tr>
        <w:trPr>
          <w:jc w:val="center"/>
        </w:trPr>
        <w:tc>
          <w:tcPr>
            <w:tcW w:type="dxa" w:w="6004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Pripremiti zimski rok završnih ispita</w:t>
            </w:r>
          </w:p>
        </w:tc>
        <w:tc>
          <w:tcPr>
            <w:tcW w:type="dxa" w:w="2978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prosinac – veljača</w:t>
            </w:r>
          </w:p>
        </w:tc>
      </w:tr>
      <w:tr>
        <w:trPr>
          <w:jc w:val="center"/>
        </w:trPr>
        <w:tc>
          <w:tcPr>
            <w:tcW w:type="dxa" w:w="6004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Organizirati završne ispite i zaostale ispite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Napisati svjedodžbe i zatvoriti andragošku dokumentaciju pojedinih polaznika</w:t>
            </w:r>
          </w:p>
        </w:tc>
        <w:tc>
          <w:tcPr>
            <w:tcW w:type="dxa" w:w="2978"/>
            <w:tcBorders>
              <w:top w:val="double" w:color="C45911" w:sz="4" w:space="0"/>
              <w:left w:val="thinThickSmallGap" w:color="C45911" w:sz="24" w:space="0"/>
              <w:bottom w:val="double" w:color="C45911" w:sz="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siječanj, veljača,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lipanj, srpanj, kolovoz</w:t>
            </w:r>
          </w:p>
        </w:tc>
      </w:tr>
      <w:tr>
        <w:trPr>
          <w:jc w:val="center"/>
        </w:trPr>
        <w:tc>
          <w:tcPr>
            <w:tcW w:type="dxa" w:w="6004"/>
            <w:tcBorders>
              <w:top w:val="double" w:color="C45911" w:sz="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Izraditi izvješće o radu za školsku godinu</w:t>
            </w:r>
          </w:p>
        </w:tc>
        <w:tc>
          <w:tcPr>
            <w:tcW w:type="dxa" w:w="2978"/>
            <w:tcBorders>
              <w:top w:val="double" w:color="C45911" w:sz="4" w:space="0"/>
              <w:left w:val="thinThickSmallGap" w:color="C45911" w:sz="24" w:space="0"/>
              <w:bottom w:val="thinThickSmallGap" w:color="C45911" w:sz="24" w:space="0"/>
              <w:right w:val="thinThickSmallGap" w:color="C45911" w:sz="24" w:space="0"/>
            </w:tcBorders>
            <w:shd w:fill="FFFFFF" w:color="auto" w:val="clear"/>
            <w:hideMark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kolovoz</w:t>
            </w:r>
          </w:p>
        </w:tc>
      </w:tr>
    </w:tbl>
    <w:p w14:paraId="03ED2A73">
      <w:pPr>
        <w:spacing w:before="100" w:beforeAutospacing="1" w:after="100" w:afterAutospacing="1"/>
        <w:rPr>
          <w:lang w:eastAsia="hr-HR"/>
        </w:rPr>
      </w:pPr>
    </w:p>
    <w:p w14:paraId="41344412">
      <w:pPr>
        <w:spacing w:before="100" w:beforeAutospacing="1" w:after="100" w:afterAutospacing="1"/>
        <w:rPr>
          <w:lang w:eastAsia="hr-HR"/>
        </w:rPr>
      </w:pPr>
    </w:p>
    <w:p w14:paraId="11B335CE">
      <w:pPr>
        <w:pStyle w:val="Naslov1"/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bookmarkStart w:id="378" w:name="_Toc210485153"/>
      <w:r>
        <w:rPr>
          <w:sz w:val="28"/>
          <w:szCs w:val="28"/>
        </w:rPr>
        <w:t xml:space="preserve">Financiranje</w:t>
      </w:r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</w:p>
    <w:p w14:paraId="52EA3CC7">
      <w:pPr>
        <w:pStyle w:val="StandardWeb"/>
        <w:spacing/>
        <w:jc w:val="both"/>
        <w:rPr/>
      </w:pPr>
      <w:r>
        <w:rPr/>
        <w:t xml:space="preserve">Cijena školarine utvrđena je Odlukom Školskog odbora.</w:t>
      </w:r>
      <w:r>
        <w:rPr/>
        <w:t xml:space="preserve"> </w:t>
      </w:r>
      <w:r>
        <w:rPr/>
        <w:t xml:space="preserve">Troškove školarine snose polaznici, poduzeća ili ustanove koje upućuju svoje zaposlenike na izobrazbu odraslih, Zavod za zapošljavanje ili druge zainteresirane pravne i fizičke osobe.</w:t>
      </w:r>
    </w:p>
    <w:p w14:paraId="69C124E5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0"/>
          <w:lang w:eastAsia="hr-HR"/>
        </w:rPr>
      </w:pPr>
    </w:p>
    <w:p w14:paraId="31B15536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0"/>
          <w:lang w:eastAsia="hr-HR"/>
        </w:rPr>
      </w:pPr>
    </w:p>
    <w:p w14:paraId="7B1EC14B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hr-HR"/>
        </w:rPr>
      </w:pPr>
    </w:p>
    <w:p w14:paraId="6BB672D9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R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AVNATELJ</w:t>
      </w:r>
    </w:p>
    <w:p w14:paraId="66B65FCC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</w:p>
    <w:p w14:paraId="5160E152">
      <w:pPr>
        <w:overflowPunct w:val="false"/>
        <w:autoSpaceDE w:val="false"/>
        <w:autoSpaceDN w:val="false"/>
        <w:adjustRightInd w:val="false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0"/>
          <w:szCs w:val="20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Ivan Vidmar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, prof.</w:t>
      </w:r>
    </w:p>
    <w:sectPr>
      <w:footerReference w:type="default" r:id="rId2"/>
      <w:type w:val="nextPage"/>
      <w:pgSz w:w="11906" w:h="16838"/>
      <w:pgMar w:top="1417" w:right="1417" w:bottom="1417" w:left="1417" w:header="709" w:footer="709" w:gutter="0"/>
      <w:pgBorders/>
      <w:pgNumType w:fmt="decimal" w:start="0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Tahoma">
    <w:charset w:val="238"/>
    <w:family w:val="swiss"/>
    <w:pitch w:val="variable"/>
    <w:sig w:usb0="E1002EFF" w:usb1="C000605B" w:usb2="00000029" w:usb3="00000000" w:csb0="000101FF" w:csb1="00000000"/>
  </w:font>
  <w:font w:name="Verdana">
    <w:charset w:val="238"/>
    <w:family w:val="swiss"/>
    <w:pitch w:val="variable"/>
    <w:sig w:usb0="A00006FF" w:usb1="4000205B" w:usb2="00000010" w:usb3="00000000" w:csb0="0000019F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MinionPro-Cn">
    <w:altName w:val="Calibri"/>
    <w:charset w:val="238"/>
    <w:family w:val="auto"/>
    <w:pitch w:val="default"/>
    <w:sig w:usb0="00000005" w:usb1="00000000" w:usb2="00000000" w:usb3="00000000" w:csb0="00000002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sdt>
    <w:sdtPr>
      <w:rPr/>
      <w:id w:val="-1976361424"/>
      <w:docPartObj>
        <w:docPartGallery w:val="Page Numbers (Bottom of Page)"/>
        <w:docPartUnique/>
      </w:docPartObj>
    </w:sdtPr>
    <w:sdtEndPr>
      <w:rPr/>
    </w:sdtEndPr>
    <w:sdtContent>
      <w:p w14:paraId="68530440">
        <w:pPr>
          <w:pStyle w:val="Podnoje"/>
          <w:spacing/>
          <w:ind w:right="360"/>
          <w:rPr/>
        </w:pPr>
        <w:r>
          <w:rPr/>
          <ve:AlternateContent>
            <ve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wrapNone/>
                  <wp:docPr id="2" name="Pravokutnik 2" title=""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flipH="1" rot="10800000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 cap="flat" cmpd="sng" w="12700">
                            <a:prstDash val="solid"/>
                            <round/>
                          </a:ln>
                          <a:extLst xmlns:a="http://schemas.openxmlformats.org/drawingml/2006/main"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pBdr>
                                  <w:top w:val="single" w:color="7F7F7F" w:sz="4" w:space="1"/>
                                </w:pBdr>
                                <w:spacing/>
                                <w:jc w:val="center"/>
                                <w:rPr>
                                  <w:color w:val="ED7D31"/>
                                </w:rPr>
                              </w:pPr>
                              <w:r>
                                <w:rPr/>
                                <w:fldChar w:fldCharType="begin"/>
                              </w:r>
                              <w:r>
                                <w:rPr/>
                                <w:instrText xml:space="preserve">PAGE   \* MERGEFORMAT</w:instrText>
                              </w:r>
                              <w:r>
                                <w:rPr/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ED7D31"/>
                                </w:rPr>
                                <w:t xml:space="preserve">33</w:t>
                              </w:r>
                              <w:r>
                                <w:rPr/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wrap="square" lIns="91440" rIns="91440" tIns="0" bIns="0" numCol="1" spcCol="0" rtlCol="0" fromWordArt="0" anchor="t" anchorCtr="0" forceAA="0" compatLnSpc="1" upright="1" vert="horz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ve:Choice>
            <ve:Fallback>
              <w:pict>
                <v:shape id="Pravokutnik 2" type="#_x0000_t202" style="position:absolute;margin-left:0pt;margin-top:0pt;width:44.55pt;height:15.1pt;rotation:180;flip:x;z-index:251659264;mso-position-horizontal-relative:right-margin-area;mso-position-vertical-relative:bottom-margin-area;mso-position-horizontal:center;mso-position-vertical:center;v-text-anchor:top;mso-wrap-distance-left:9pt;mso-wrap-distance-top:0pt;mso-wrap-distance-right:9pt;mso-wrap-distance-bottom:0pt;mso-wrap-style:square;position:absolute" filled="f" strokecolor="#5C83B4" strokeweight="2.25pt" stroked="f">
                  <v:textbox style="" inset="7.2pt,0pt,7.2pt,0pt">
                    <w:txbxContent>
                      <w:p>
                        <w:pPr>
                          <w:pBdr>
                            <w:top w:val="single" w:color="7F7F7F" w:sz="4" w:space="1"/>
                          </w:pBdr>
                          <w:spacing/>
                          <w:jc w:val="center"/>
                          <w:rPr>
                            <w:color w:val="ED7D31"/>
                          </w:rPr>
                        </w:pPr>
                        <w:r>
                          <w:rPr/>
                          <w:fldChar w:fldCharType="begin"/>
                        </w:r>
                        <w:r>
                          <w:rPr/>
                          <w:instrText xml:space="preserve">PAGE   \* MERGEFORMAT</w:instrText>
                        </w:r>
                        <w:r>
                          <w:rPr/>
                          <w:fldChar w:fldCharType="separate"/>
                        </w:r>
                        <w:r>
                          <w:rPr>
                            <w:noProof/>
                            <w:color w:val="ED7D31"/>
                          </w:rPr>
                          <w:t xml:space="preserve">33</w:t>
                        </w:r>
                        <w:r>
                          <w:rPr/>
                          <w:fldChar w:fldCharType="end"/>
                        </w:r>
                      </w:p>
                    </w:txbxContent>
                  </v:textbox>
                </v:shape>
              </w:pict>
            </ve:Fallback>
          </ve:AlternateConten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lvl w:ilvl="0">
      <w:start w:val="1"/>
      <w:numFmt w:val="bullet"/>
      <w:suff w:val="tab"/>
      <w:lvlText w:val="**"/>
      <w:pPr>
        <w:spacing/>
      </w:pPr>
      <w:rPr/>
    </w:lvl>
    <w:lvl w:ilvl="1">
      <w:start w:val="1"/>
      <w:numFmt w:val="bullet"/>
      <w:suff w:val="tab"/>
      <w:lvlText w:val=""/>
      <w:pPr>
        <w:spacing/>
      </w:pPr>
      <w:rPr/>
    </w:lvl>
    <w:lvl w:ilvl="2">
      <w:start w:val="1"/>
      <w:numFmt w:val="bullet"/>
      <w:suff w:val="tab"/>
      <w:lvlText w:val=""/>
      <w:pPr>
        <w:spacing/>
      </w:pPr>
      <w:rPr/>
    </w:lvl>
    <w:lvl w:ilvl="3">
      <w:start w:val="1"/>
      <w:numFmt w:val="bullet"/>
      <w:suff w:val="tab"/>
      <w:lvlText w:val=""/>
      <w:pPr>
        <w:spacing/>
      </w:pPr>
      <w:rPr/>
    </w:lvl>
    <w:lvl w:ilvl="4">
      <w:start w:val="1"/>
      <w:numFmt w:val="bullet"/>
      <w:suff w:val="tab"/>
      <w:lvlText w:val=""/>
      <w:pPr>
        <w:spacing/>
      </w:pPr>
      <w:rPr/>
    </w:lvl>
    <w:lvl w:ilvl="5">
      <w:start w:val="1"/>
      <w:numFmt w:val="bullet"/>
      <w:suff w:val="tab"/>
      <w:lvlText w:val=""/>
      <w:pPr>
        <w:spacing/>
      </w:pPr>
      <w:rPr/>
    </w:lvl>
    <w:lvl w:ilvl="6">
      <w:start w:val="1"/>
      <w:numFmt w:val="bullet"/>
      <w:suff w:val="tab"/>
      <w:lvlText w:val=""/>
      <w:pPr>
        <w:spacing/>
      </w:pPr>
      <w:rPr/>
    </w:lvl>
    <w:lvl w:ilvl="7">
      <w:start w:val="1"/>
      <w:numFmt w:val="bullet"/>
      <w:suff w:val="tab"/>
      <w:lvlText w:val=""/>
      <w:pPr>
        <w:spacing/>
      </w:pPr>
      <w:rPr/>
    </w:lvl>
    <w:lvl w:ilvl="8">
      <w:start w:val="1"/>
      <w:numFmt w:val="bullet"/>
      <w:suff w:val="tab"/>
      <w:lvlText w:val=""/>
      <w:pPr>
        <w:spacing/>
      </w:pPr>
      <w:rPr/>
    </w:lvl>
  </w:abstractNum>
  <w:abstractNum w:abstractNumId="1">
    <w:nsid w:val="009618C6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2">
    <w:nsid w:val="01E13297"/>
    <w:lvl w:ilvl="0">
      <w:start w:val="1"/>
      <w:numFmt w:val="decimal"/>
      <w:suff w:val="tab"/>
      <w:lvlText w:val="%1."/>
      <w:pPr>
        <w:spacing/>
        <w:ind w:left="420" w:hanging="420"/>
      </w:pPr>
      <w:rPr>
        <w:rFonts w:eastAsiaTheme="minorHAnsi" w:hint="default"/>
      </w:rPr>
    </w:lvl>
    <w:lvl w:ilvl="1">
      <w:start w:val="1"/>
      <w:numFmt w:val="decimal"/>
      <w:suff w:val="tab"/>
      <w:lvlText w:val="%1.%2."/>
      <w:pPr>
        <w:spacing/>
        <w:ind w:left="420" w:hanging="420"/>
      </w:pPr>
      <w:rPr>
        <w:rFonts w:eastAsiaTheme="minorHAnsi" w:hint="default"/>
      </w:rPr>
    </w:lvl>
    <w:lvl w:ilvl="2">
      <w:start w:val="1"/>
      <w:numFmt w:val="decimal"/>
      <w:suff w:val="tab"/>
      <w:lvlText w:val="%1.%2.%3."/>
      <w:pPr>
        <w:spacing/>
        <w:ind w:left="720" w:hanging="720"/>
      </w:pPr>
      <w:rPr>
        <w:rFonts w:eastAsiaTheme="minorHAnsi" w:hint="default"/>
      </w:rPr>
    </w:lvl>
    <w:lvl w:ilvl="3">
      <w:start w:val="1"/>
      <w:numFmt w:val="decimal"/>
      <w:suff w:val="tab"/>
      <w:lvlText w:val="%1.%2.%3.%4."/>
      <w:pPr>
        <w:spacing/>
        <w:ind w:left="720" w:hanging="720"/>
      </w:pPr>
      <w:rPr>
        <w:rFonts w:eastAsiaTheme="minorHAnsi" w:hint="default"/>
      </w:rPr>
    </w:lvl>
    <w:lvl w:ilvl="4">
      <w:start w:val="1"/>
      <w:numFmt w:val="decimal"/>
      <w:suff w:val="tab"/>
      <w:lvlText w:val="%1.%2.%3.%4.%5."/>
      <w:pPr>
        <w:spacing/>
        <w:ind w:left="1080" w:hanging="1080"/>
      </w:pPr>
      <w:rPr>
        <w:rFonts w:eastAsiaTheme="minorHAnsi" w:hint="default"/>
      </w:rPr>
    </w:lvl>
    <w:lvl w:ilvl="5">
      <w:start w:val="1"/>
      <w:numFmt w:val="decimal"/>
      <w:suff w:val="tab"/>
      <w:lvlText w:val="%1.%2.%3.%4.%5.%6."/>
      <w:pPr>
        <w:spacing/>
        <w:ind w:left="1080" w:hanging="1080"/>
      </w:pPr>
      <w:rPr>
        <w:rFonts w:eastAsiaTheme="minorHAnsi" w:hint="default"/>
      </w:rPr>
    </w:lvl>
    <w:lvl w:ilvl="6">
      <w:start w:val="1"/>
      <w:numFmt w:val="decimal"/>
      <w:suff w:val="tab"/>
      <w:lvlText w:val="%1.%2.%3.%4.%5.%6.%7."/>
      <w:pPr>
        <w:spacing/>
        <w:ind w:left="1440" w:hanging="1440"/>
      </w:pPr>
      <w:rPr>
        <w:rFonts w:eastAsiaTheme="minorHAnsi" w:hint="default"/>
      </w:rPr>
    </w:lvl>
    <w:lvl w:ilvl="7">
      <w:start w:val="1"/>
      <w:numFmt w:val="decimal"/>
      <w:suff w:val="tab"/>
      <w:lvlText w:val="%1.%2.%3.%4.%5.%6.%7.%8."/>
      <w:pPr>
        <w:spacing/>
        <w:ind w:left="1440" w:hanging="1440"/>
      </w:pPr>
      <w:rPr>
        <w:rFonts w:eastAsiaTheme="minorHAnsi" w:hint="default"/>
      </w:rPr>
    </w:lvl>
    <w:lvl w:ilvl="8">
      <w:start w:val="1"/>
      <w:numFmt w:val="decimal"/>
      <w:suff w:val="tab"/>
      <w:lvlText w:val="%1.%2.%3.%4.%5.%6.%7.%8.%9."/>
      <w:pPr>
        <w:spacing/>
        <w:ind w:left="1800" w:hanging="1800"/>
      </w:pPr>
      <w:rPr>
        <w:rFonts w:eastAsiaTheme="minorHAnsi" w:hint="default"/>
      </w:rPr>
    </w:lvl>
  </w:abstractNum>
  <w:abstractNum w:abstractNumId="3">
    <w:nsid w:val="1E2D48EF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204D60AC"/>
    <w:lvl w:ilvl="0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60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4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6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200" w:hanging="360"/>
      </w:pPr>
      <w:rPr>
        <w:rFonts w:ascii="Wingdings" w:hAnsi="Wingdings" w:hint="default"/>
      </w:rPr>
    </w:lvl>
  </w:abstractNum>
  <w:abstractNum w:abstractNumId="5">
    <w:nsid w:val="2B341DED"/>
    <w:lvl w:ilvl="0">
      <w:start w:val="0"/>
      <w:numFmt w:val="bullet"/>
      <w:suff w:val="tab"/>
      <w:lvlText w:val=""/>
      <w:legacy w:legacy="1" w:legacySpace="0" w:legacyIndent="283"/>
      <w:pPr>
        <w:spacing/>
        <w:ind w:left="823" w:hanging="283"/>
      </w:pPr>
      <w:rPr>
        <w:rFonts w:ascii="Symbol" w:hAnsi="Symbol" w:hint="default"/>
      </w:rPr>
    </w:lvl>
    <w:lvl w:ilvl="1">
      <w:start w:val="0"/>
      <w:numFmt w:val="bullet"/>
      <w:pStyle w:val="Grafikeoznake2"/>
      <w:suff w:val="tab"/>
      <w:lvlText w:val=""/>
      <w:legacy w:legacy="1" w:legacySpace="0" w:legacyIndent="283"/>
      <w:pPr>
        <w:spacing/>
        <w:ind w:left="283" w:hanging="283"/>
      </w:pPr>
      <w:rPr>
        <w:rFonts w:ascii="Symbol" w:hAnsi="Symbol" w:hint="default"/>
      </w:rPr>
    </w:lvl>
    <w:lvl w:ilvl="2">
      <w:start w:val="1"/>
      <w:numFmt w:val="bullet"/>
      <w:suff w:val="tab"/>
      <w:lvlText w:val=""/>
      <w:pPr>
        <w:tabs>
          <w:tab w:val="num" w:pos="1080"/>
        </w:tabs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1800"/>
        </w:tabs>
        <w:spacing/>
        <w:ind w:left="180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2520"/>
        </w:tabs>
        <w:spacing/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3240"/>
        </w:tabs>
        <w:spacing/>
        <w:ind w:left="324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3960"/>
        </w:tabs>
        <w:spacing/>
        <w:ind w:left="396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4680"/>
        </w:tabs>
        <w:spacing/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5400"/>
        </w:tabs>
        <w:spacing/>
        <w:ind w:left="5400" w:hanging="360"/>
      </w:pPr>
      <w:rPr>
        <w:rFonts w:ascii="Wingdings" w:hAnsi="Wingdings" w:hint="default"/>
      </w:rPr>
    </w:lvl>
  </w:abstractNum>
  <w:abstractNum w:abstractNumId="6">
    <w:nsid w:val="36830A80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0949E0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8">
    <w:nsid w:val="3B47401E"/>
    <w:lvl w:ilvl="0">
      <w:start w:val="1"/>
      <w:numFmt w:val="bullet"/>
      <w:suff w:val="tab"/>
      <w:lvlText w:val=""/>
      <w:pPr>
        <w:spacing/>
        <w:ind w:left="1785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505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225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945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665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385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6105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825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545" w:hanging="360"/>
      </w:pPr>
      <w:rPr>
        <w:rFonts w:ascii="Wingdings" w:hAnsi="Wingdings" w:hint="default"/>
      </w:rPr>
    </w:lvl>
  </w:abstractNum>
  <w:abstractNum w:abstractNumId="9">
    <w:nsid w:val="3BC64966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C7417A"/>
    <w:lvl w:ilvl="0">
      <w:start w:val="1"/>
      <w:numFmt w:val="decimal"/>
      <w:suff w:val="tab"/>
      <w:lvlText w:val="%1."/>
      <w:pPr>
        <w:spacing/>
        <w:ind w:left="420" w:hanging="420"/>
      </w:pPr>
      <w:rPr>
        <w:rFonts w:eastAsiaTheme="minorHAnsi" w:hint="default"/>
        <w:sz w:val="28"/>
        <w:szCs w:val="28"/>
      </w:rPr>
    </w:lvl>
    <w:lvl w:ilvl="1">
      <w:start w:val="1"/>
      <w:numFmt w:val="decimal"/>
      <w:suff w:val="tab"/>
      <w:lvlText w:val="%1.%2."/>
      <w:pPr>
        <w:spacing/>
        <w:ind w:left="420" w:hanging="420"/>
      </w:pPr>
      <w:rPr>
        <w:rFonts w:eastAsiaTheme="minorHAnsi" w:hint="default"/>
      </w:rPr>
    </w:lvl>
    <w:lvl w:ilvl="2">
      <w:start w:val="1"/>
      <w:numFmt w:val="decimal"/>
      <w:suff w:val="tab"/>
      <w:lvlText w:val="%1.%2.%3."/>
      <w:pPr>
        <w:spacing/>
        <w:ind w:left="720" w:hanging="720"/>
      </w:pPr>
      <w:rPr>
        <w:rFonts w:eastAsiaTheme="minorHAnsi" w:hint="default"/>
      </w:rPr>
    </w:lvl>
    <w:lvl w:ilvl="3">
      <w:start w:val="1"/>
      <w:numFmt w:val="decimal"/>
      <w:suff w:val="tab"/>
      <w:lvlText w:val="%1.%2.%3.%4."/>
      <w:pPr>
        <w:spacing/>
        <w:ind w:left="720" w:hanging="720"/>
      </w:pPr>
      <w:rPr>
        <w:rFonts w:eastAsiaTheme="minorHAnsi" w:hint="default"/>
      </w:rPr>
    </w:lvl>
    <w:lvl w:ilvl="4">
      <w:start w:val="1"/>
      <w:numFmt w:val="decimal"/>
      <w:suff w:val="tab"/>
      <w:lvlText w:val="%1.%2.%3.%4.%5."/>
      <w:pPr>
        <w:spacing/>
        <w:ind w:left="1080" w:hanging="1080"/>
      </w:pPr>
      <w:rPr>
        <w:rFonts w:eastAsiaTheme="minorHAnsi" w:hint="default"/>
      </w:rPr>
    </w:lvl>
    <w:lvl w:ilvl="5">
      <w:start w:val="1"/>
      <w:numFmt w:val="decimal"/>
      <w:suff w:val="tab"/>
      <w:lvlText w:val="%1.%2.%3.%4.%5.%6."/>
      <w:pPr>
        <w:spacing/>
        <w:ind w:left="1080" w:hanging="1080"/>
      </w:pPr>
      <w:rPr>
        <w:rFonts w:eastAsiaTheme="minorHAnsi" w:hint="default"/>
      </w:rPr>
    </w:lvl>
    <w:lvl w:ilvl="6">
      <w:start w:val="1"/>
      <w:numFmt w:val="decimal"/>
      <w:suff w:val="tab"/>
      <w:lvlText w:val="%1.%2.%3.%4.%5.%6.%7."/>
      <w:pPr>
        <w:spacing/>
        <w:ind w:left="1440" w:hanging="1440"/>
      </w:pPr>
      <w:rPr>
        <w:rFonts w:eastAsiaTheme="minorHAnsi" w:hint="default"/>
      </w:rPr>
    </w:lvl>
    <w:lvl w:ilvl="7">
      <w:start w:val="1"/>
      <w:numFmt w:val="decimal"/>
      <w:suff w:val="tab"/>
      <w:lvlText w:val="%1.%2.%3.%4.%5.%6.%7.%8."/>
      <w:pPr>
        <w:spacing/>
        <w:ind w:left="1440" w:hanging="1440"/>
      </w:pPr>
      <w:rPr>
        <w:rFonts w:eastAsiaTheme="minorHAnsi" w:hint="default"/>
      </w:rPr>
    </w:lvl>
    <w:lvl w:ilvl="8">
      <w:start w:val="1"/>
      <w:numFmt w:val="decimal"/>
      <w:suff w:val="tab"/>
      <w:lvlText w:val="%1.%2.%3.%4.%5.%6.%7.%8.%9."/>
      <w:pPr>
        <w:spacing/>
        <w:ind w:left="1800" w:hanging="1800"/>
      </w:pPr>
      <w:rPr>
        <w:rFonts w:eastAsiaTheme="minorHAnsi" w:hint="default"/>
      </w:rPr>
    </w:lvl>
  </w:abstractNum>
  <w:abstractNum w:abstractNumId="11">
    <w:nsid w:val="4EB008CE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2">
    <w:nsid w:val="52C05225"/>
    <w:lvl w:ilvl="0">
      <w:start w:val="1"/>
      <w:numFmt w:val="bullet"/>
      <w:suff w:val="tab"/>
      <w:lvlText w:val="-"/>
      <w:pPr>
        <w:tabs>
          <w:tab w:val="num" w:pos="720"/>
        </w:tabs>
        <w:spacing/>
        <w:ind w:left="720" w:hanging="360"/>
      </w:pPr>
      <w:rPr>
        <w:rFonts w:ascii="Times New Roman" w:hAnsi="Times New Roman" w:eastAsia="Times New Roman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88471B"/>
    <w:lvl w:ilvl="0">
      <w:start w:val="1"/>
      <w:numFmt w:val="decimal"/>
      <w:suff w:val="tab"/>
      <w:lvlText w:val="%1."/>
      <w:pPr>
        <w:spacing/>
        <w:ind w:left="720" w:hanging="360"/>
      </w:pPr>
      <w:rPr>
        <w:rFonts w:cs="Arial" w:hint="default"/>
        <w:b/>
        <w:i w:val="0"/>
        <w:w w:val="86"/>
        <w:sz w:val="24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4">
    <w:nsid w:val="77DA2A20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5">
    <w:nsid w:val="7A39265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decimal"/>
      <w:pStyle w:val="Naslov2"/>
      <w:isLgl/>
      <w:suff w:val="tab"/>
      <w:lvlText w:val="%1.%2."/>
      <w:pPr>
        <w:spacing/>
        <w:ind w:left="78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pPr>
        <w:spacing/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pPr>
        <w:spacing/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pPr>
        <w:spacing/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pPr>
        <w:spacing/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pPr>
        <w:spacing/>
        <w:ind w:left="2160" w:hanging="1800"/>
      </w:pPr>
      <w:rPr>
        <w:rFonts w:hint="default"/>
      </w:rPr>
    </w:lvl>
  </w:abstractNum>
  <w:abstractNum w:abstractNumId="16">
    <w:nsid w:val="7FD73CD7"/>
    <w:lvl w:ilvl="0">
      <w:start w:val="1"/>
      <w:numFmt w:val="decimal"/>
      <w:suff w:val="tab"/>
      <w:lvlText w:val="%1."/>
      <w:pPr>
        <w:spacing/>
        <w:ind w:left="420" w:hanging="420"/>
      </w:pPr>
      <w:rPr>
        <w:rFonts w:eastAsiaTheme="minorHAnsi" w:hint="default"/>
        <w:sz w:val="28"/>
        <w:szCs w:val="28"/>
      </w:rPr>
    </w:lvl>
    <w:lvl w:ilvl="1">
      <w:start w:val="1"/>
      <w:numFmt w:val="decimal"/>
      <w:suff w:val="tab"/>
      <w:lvlText w:val="%1.%2."/>
      <w:pPr>
        <w:spacing/>
        <w:ind w:left="420" w:hanging="420"/>
      </w:pPr>
      <w:rPr>
        <w:rFonts w:eastAsiaTheme="minorHAnsi" w:hint="default"/>
      </w:rPr>
    </w:lvl>
    <w:lvl w:ilvl="2">
      <w:start w:val="1"/>
      <w:numFmt w:val="decimal"/>
      <w:suff w:val="tab"/>
      <w:lvlText w:val="%1.%2.%3."/>
      <w:pPr>
        <w:spacing/>
        <w:ind w:left="720" w:hanging="720"/>
      </w:pPr>
      <w:rPr>
        <w:rFonts w:eastAsiaTheme="minorHAnsi" w:hint="default"/>
      </w:rPr>
    </w:lvl>
    <w:lvl w:ilvl="3">
      <w:start w:val="1"/>
      <w:numFmt w:val="decimal"/>
      <w:suff w:val="tab"/>
      <w:lvlText w:val="%1.%2.%3.%4."/>
      <w:pPr>
        <w:spacing/>
        <w:ind w:left="720" w:hanging="720"/>
      </w:pPr>
      <w:rPr>
        <w:rFonts w:eastAsiaTheme="minorHAnsi" w:hint="default"/>
      </w:rPr>
    </w:lvl>
    <w:lvl w:ilvl="4">
      <w:start w:val="1"/>
      <w:numFmt w:val="decimal"/>
      <w:suff w:val="tab"/>
      <w:lvlText w:val="%1.%2.%3.%4.%5."/>
      <w:pPr>
        <w:spacing/>
        <w:ind w:left="1080" w:hanging="1080"/>
      </w:pPr>
      <w:rPr>
        <w:rFonts w:eastAsiaTheme="minorHAnsi" w:hint="default"/>
      </w:rPr>
    </w:lvl>
    <w:lvl w:ilvl="5">
      <w:start w:val="1"/>
      <w:numFmt w:val="decimal"/>
      <w:suff w:val="tab"/>
      <w:lvlText w:val="%1.%2.%3.%4.%5.%6."/>
      <w:pPr>
        <w:spacing/>
        <w:ind w:left="1080" w:hanging="1080"/>
      </w:pPr>
      <w:rPr>
        <w:rFonts w:eastAsiaTheme="minorHAnsi" w:hint="default"/>
      </w:rPr>
    </w:lvl>
    <w:lvl w:ilvl="6">
      <w:start w:val="1"/>
      <w:numFmt w:val="decimal"/>
      <w:suff w:val="tab"/>
      <w:lvlText w:val="%1.%2.%3.%4.%5.%6.%7."/>
      <w:pPr>
        <w:spacing/>
        <w:ind w:left="1440" w:hanging="1440"/>
      </w:pPr>
      <w:rPr>
        <w:rFonts w:eastAsiaTheme="minorHAnsi" w:hint="default"/>
      </w:rPr>
    </w:lvl>
    <w:lvl w:ilvl="7">
      <w:start w:val="1"/>
      <w:numFmt w:val="decimal"/>
      <w:suff w:val="tab"/>
      <w:lvlText w:val="%1.%2.%3.%4.%5.%6.%7.%8."/>
      <w:pPr>
        <w:spacing/>
        <w:ind w:left="1440" w:hanging="1440"/>
      </w:pPr>
      <w:rPr>
        <w:rFonts w:eastAsiaTheme="minorHAnsi" w:hint="default"/>
      </w:rPr>
    </w:lvl>
    <w:lvl w:ilvl="8">
      <w:start w:val="1"/>
      <w:numFmt w:val="decimal"/>
      <w:suff w:val="tab"/>
      <w:lvlText w:val="%1.%2.%3.%4.%5.%6.%7.%8.%9."/>
      <w:pPr>
        <w:spacing/>
        <w:ind w:left="1800" w:hanging="1800"/>
      </w:pPr>
      <w:rPr>
        <w:rFonts w:eastAsiaTheme="minorHAnsi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1"/>
  <w:hideSpellingErrors xmlns:w="http://schemas.openxmlformats.org/wordprocessingml/2006/main"/>
  <w:hideGrammaticalErrors xmlns:w="http://schemas.openxmlformats.org/wordprocessingml/2006/main"/>
  <w:proofState w:spelling="clean" w:grammar="dirty"/>
  <w:defaultTabStop w:val="709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qFormat/>
    <w:pPr>
      <w:keepNext/>
      <w:overflowPunct w:val="false"/>
      <w:autoSpaceDE w:val="false"/>
      <w:autoSpaceDN w:val="false"/>
      <w:adjustRightInd w:val="false"/>
      <w:spacing w:after="0" w:line="240" w:lineRule="auto"/>
      <w:outlineLvl w:val="0"/>
    </w:pPr>
    <w:rPr>
      <w:rFonts w:ascii="Times New Roman" w:hAnsi="Times New Roman" w:eastAsia="Times New Roman" w:cs="Times New Roman"/>
      <w:b/>
      <w:kern w:val="28"/>
      <w:sz w:val="24"/>
      <w:szCs w:val="24"/>
      <w:lang w:eastAsia="hr-HR"/>
    </w:rPr>
  </w:style>
  <w:style w:type="paragraph" w:styleId="Naslov2">
    <w:name w:val="Heading 2"/>
    <w:basedOn w:val="Odlomakpopisa"/>
    <w:next w:val="Normal"/>
    <w:link w:val="Naslov2Char"/>
    <w:qFormat/>
    <w:numPr>
      <w:ilvl w:val="1"/>
      <w:numId w:val="16"/>
    </w:numPr>
    <w:pPr>
      <w:numPr>
        <w:ilvl w:val="1"/>
        <w:numId w:val="16"/>
      </w:numPr>
      <w:spacing w:after="480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Naslov3">
    <w:name w:val="Heading 3"/>
    <w:basedOn w:val="Normal"/>
    <w:next w:val="Normal"/>
    <w:link w:val="Naslov3Char"/>
    <w:qFormat/>
    <w:pPr>
      <w:keepNext/>
      <w:overflowPunct w:val="false"/>
      <w:autoSpaceDE w:val="false"/>
      <w:autoSpaceDN w:val="false"/>
      <w:adjustRightInd w:val="false"/>
      <w:spacing w:before="240" w:after="60" w:line="240" w:lineRule="auto"/>
      <w:outlineLvl w:val="2"/>
    </w:pPr>
    <w:rPr>
      <w:rFonts w:ascii="Arial" w:hAnsi="Arial" w:eastAsia="Times New Roman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qFormat/>
    <w:pPr>
      <w:keepNext/>
      <w:overflowPunct w:val="false"/>
      <w:autoSpaceDE w:val="false"/>
      <w:autoSpaceDN w:val="false"/>
      <w:adjustRightInd w:val="false"/>
      <w:spacing w:before="240" w:after="60" w:line="240" w:lineRule="auto"/>
      <w:outlineLvl w:val="3"/>
    </w:pPr>
    <w:rPr>
      <w:rFonts w:ascii="Arial" w:hAnsi="Arial" w:eastAsia="Times New Roman" w:cs="Times New Roman"/>
      <w:b/>
      <w:sz w:val="24"/>
      <w:szCs w:val="20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rPr>
      <w:rFonts w:ascii="Times New Roman" w:hAnsi="Times New Roman" w:eastAsia="Times New Roman" w:cs="Times New Roman"/>
      <w:b/>
      <w:kern w:val="28"/>
      <w:sz w:val="24"/>
      <w:szCs w:val="24"/>
      <w:lang w:eastAsia="hr-HR"/>
    </w:rPr>
  </w:style>
  <w:style w:type="character" w:styleId="Naslov2Char" w:customStyle="1">
    <w:name w:val="Naslov 2 Char"/>
    <w:basedOn w:val="Zadanifontodlomka"/>
    <w:link w:val="Heading2"/>
    <w:rPr>
      <w:rFonts w:ascii="Times New Roman" w:hAnsi="Times New Roman" w:cs="Times New Roman"/>
      <w:b/>
      <w:bCs/>
      <w:sz w:val="24"/>
      <w:szCs w:val="24"/>
    </w:rPr>
  </w:style>
  <w:style w:type="character" w:styleId="Naslov3Char" w:customStyle="1">
    <w:name w:val="Naslov 3 Char"/>
    <w:basedOn w:val="Zadanifontodlomka"/>
    <w:link w:val="Heading3"/>
    <w:rPr>
      <w:rFonts w:ascii="Arial" w:hAnsi="Arial" w:eastAsia="Times New Roman" w:cs="Times New Roman"/>
      <w:sz w:val="24"/>
      <w:szCs w:val="20"/>
      <w:lang w:eastAsia="hr-HR"/>
    </w:rPr>
  </w:style>
  <w:style w:type="character" w:styleId="Naslov4Char" w:customStyle="1">
    <w:name w:val="Naslov 4 Char"/>
    <w:basedOn w:val="Zadanifontodlomka"/>
    <w:link w:val="Heading4"/>
    <w:rPr>
      <w:rFonts w:ascii="Arial" w:hAnsi="Arial" w:eastAsia="Times New Roman" w:cs="Times New Roman"/>
      <w:b/>
      <w:sz w:val="24"/>
      <w:szCs w:val="20"/>
      <w:lang w:eastAsia="hr-HR"/>
    </w:rPr>
  </w:style>
  <w:style w:type="numbering" w:styleId="Bezpopisa1" w:customStyle="1">
    <w:name w:val="Bez popisa1"/>
    <w:next w:val="Bezpopisa"/>
    <w:uiPriority w:val="99"/>
    <w:semiHidden/>
  </w:style>
  <w:style w:type="paragraph" w:styleId="Popis">
    <w:name w:val="List"/>
    <w:basedOn w:val="Normal"/>
    <w:pPr>
      <w:overflowPunct w:val="false"/>
      <w:autoSpaceDE w:val="false"/>
      <w:autoSpaceDN w:val="false"/>
      <w:adjustRightInd w:val="false"/>
      <w:spacing w:after="0" w:line="240" w:lineRule="auto"/>
      <w:ind w:left="283" w:hanging="283"/>
    </w:pPr>
    <w:rPr>
      <w:rFonts w:ascii="Times New Roman" w:hAnsi="Times New Roman" w:eastAsia="Times New Roman" w:cs="Times New Roman"/>
      <w:sz w:val="20"/>
      <w:szCs w:val="20"/>
      <w:lang w:eastAsia="hr-HR"/>
    </w:rPr>
  </w:style>
  <w:style w:type="paragraph" w:styleId="Popis2">
    <w:name w:val="List 2"/>
    <w:basedOn w:val="Normal"/>
    <w:pPr>
      <w:overflowPunct w:val="false"/>
      <w:autoSpaceDE w:val="false"/>
      <w:autoSpaceDN w:val="false"/>
      <w:adjustRightInd w:val="false"/>
      <w:spacing w:after="0" w:line="240" w:lineRule="auto"/>
      <w:ind w:left="566" w:hanging="283"/>
    </w:pPr>
    <w:rPr>
      <w:rFonts w:ascii="Times New Roman" w:hAnsi="Times New Roman" w:eastAsia="Times New Roman" w:cs="Times New Roman"/>
      <w:sz w:val="20"/>
      <w:szCs w:val="20"/>
      <w:lang w:eastAsia="hr-HR"/>
    </w:rPr>
  </w:style>
  <w:style w:type="paragraph" w:styleId="Grafikeoznake2">
    <w:name w:val="List Bullet 2"/>
    <w:basedOn w:val="Normal"/>
    <w:numPr>
      <w:ilvl w:val="1"/>
      <w:numId w:val="6"/>
    </w:numPr>
    <w:pPr>
      <w:numPr>
        <w:ilvl w:val="1"/>
        <w:numId w:val="6"/>
      </w:numPr>
      <w:overflowPunct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pPr>
      <w:spacing w:after="0" w:line="240" w:lineRule="auto"/>
      <w:ind w:right="-648"/>
    </w:pPr>
    <w:rPr>
      <w:rFonts w:ascii="Times New Roman" w:hAnsi="Times New Roman" w:eastAsia="Times New Roman" w:cs="Times New Roman"/>
      <w:b/>
      <w:bCs/>
      <w:sz w:val="28"/>
      <w:szCs w:val="28"/>
      <w:lang w:eastAsia="hr-HR"/>
    </w:rPr>
  </w:style>
  <w:style w:type="character" w:styleId="TijelotekstaChar" w:customStyle="1">
    <w:name w:val="Tijelo teksta Char"/>
    <w:basedOn w:val="Zadanifontodlomka"/>
    <w:link w:val="BodyText"/>
    <w:semiHidden/>
    <w:rPr>
      <w:rFonts w:ascii="Times New Roman" w:hAnsi="Times New Roman" w:eastAsia="Times New Roman" w:cs="Times New Roman"/>
      <w:b/>
      <w:bCs/>
      <w:sz w:val="28"/>
      <w:szCs w:val="28"/>
      <w:lang w:eastAsia="hr-HR"/>
    </w:rPr>
  </w:style>
  <w:style w:type="character" w:styleId="Referencakomentara" w:customStyle="1">
    <w:name w:val="annotation reference"/>
    <w:basedOn w:val="Zadanifontodlomka"/>
    <w:rPr>
      <w:sz w:val="16"/>
      <w:szCs w:val="16"/>
    </w:rPr>
  </w:style>
  <w:style w:type="paragraph" w:styleId="Tekstkomentara" w:customStyle="1">
    <w:name w:val="annotation text"/>
    <w:basedOn w:val="Normal"/>
    <w:link w:val="TekstkomentaraChar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</w:style>
  <w:style w:type="character" w:styleId="TekstkomentaraChar" w:customStyle="1">
    <w:name w:val="Tekst komentara Char"/>
    <w:basedOn w:val="Zadanifontodlomka"/>
    <w:link w:val="annotationtext"/>
    <w:rPr>
      <w:rFonts w:ascii="Times New Roman" w:hAnsi="Times New Roman" w:eastAsia="Times New Roman" w:cs="Times New Roman"/>
      <w:sz w:val="20"/>
      <w:szCs w:val="20"/>
      <w:lang w:eastAsia="hr-HR"/>
    </w:rPr>
  </w:style>
  <w:style w:type="paragraph" w:styleId="Predmetkomentara" w:customStyle="1">
    <w:name w:val="annotation subject"/>
    <w:basedOn w:val="Tekstkomentara"/>
    <w:next w:val="Tekstkomentara"/>
    <w:link w:val="PredmetkomentaraChar"/>
    <w:pPr>
      <w:spacing/>
    </w:pPr>
    <w:rPr>
      <w:b/>
      <w:bCs/>
    </w:rPr>
  </w:style>
  <w:style w:type="character" w:styleId="PredmetkomentaraChar" w:customStyle="1">
    <w:name w:val="Predmet komentara Char"/>
    <w:basedOn w:val="TekstkomentaraChar"/>
    <w:link w:val="annotationsubject"/>
    <w:rPr>
      <w:rFonts w:ascii="Times New Roman" w:hAnsi="Times New Roman" w:eastAsia="Times New Roman" w:cs="Times New Roman"/>
      <w:b/>
      <w:bCs/>
      <w:sz w:val="20"/>
      <w:szCs w:val="20"/>
      <w:lang w:eastAsia="hr-HR"/>
    </w:rPr>
  </w:style>
  <w:style w:type="paragraph" w:styleId="Podnoje">
    <w:name w:val="Footer"/>
    <w:basedOn w:val="Normal"/>
    <w:link w:val="PodnožjeChar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PodnojeChar" w:customStyle="1">
    <w:name w:val="Podnožje Char"/>
    <w:basedOn w:val="Zadanifontodlomka"/>
    <w:link w:val="Footer"/>
    <w:uiPriority w:val="99"/>
    <w:rPr>
      <w:rFonts w:ascii="Times New Roman" w:hAnsi="Times New Roman" w:eastAsia="Times New Roman" w:cs="Times New Roman"/>
      <w:sz w:val="24"/>
      <w:szCs w:val="24"/>
    </w:rPr>
  </w:style>
  <w:style w:type="character" w:styleId="Brojstranice">
    <w:name w:val="Page Number"/>
    <w:basedOn w:val="Zadanifontodlomka"/>
    <w:rPr/>
  </w:style>
  <w:style w:type="table" w:styleId="Reetkatablice">
    <w:name w:val="Table Grid"/>
    <w:basedOn w:val="Obinatablica"/>
    <w:uiPriority w:val="39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balonia">
    <w:name w:val="Balloon Text"/>
    <w:basedOn w:val="Normal"/>
    <w:link w:val="TekstbalončićaChar"/>
    <w:uiPriority w:val="99"/>
    <w:semiHidden/>
    <w:pPr>
      <w:spacing w:after="0" w:line="240" w:lineRule="auto"/>
    </w:pPr>
    <w:rPr>
      <w:rFonts w:ascii="Tahoma" w:hAnsi="Tahoma" w:eastAsia="Times New Roman" w:cs="Tahoma"/>
      <w:sz w:val="16"/>
      <w:szCs w:val="16"/>
      <w:lang w:eastAsia="hr-HR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Tahoma" w:hAnsi="Tahoma" w:eastAsia="Times New Roman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ZaglavljeChar" w:customStyle="1">
    <w:name w:val="Zaglavlje Char"/>
    <w:basedOn w:val="Zadanifontodlomka"/>
    <w:link w:val="Header"/>
    <w:qFormat/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Odlomakpopisa1" w:customStyle="1">
    <w:name w:val="Odlomak popisa1"/>
    <w:basedOn w:val="Normal"/>
    <w:pPr>
      <w:spacing w:after="0" w:line="240" w:lineRule="auto"/>
      <w:ind w:left="720"/>
    </w:pPr>
    <w:rPr>
      <w:rFonts w:ascii="Times New Roman" w:hAnsi="Times New Roman" w:eastAsia="Calibri" w:cs="Times New Roman"/>
      <w:sz w:val="24"/>
      <w:szCs w:val="24"/>
      <w:lang w:eastAsia="hr-HR"/>
    </w:rPr>
  </w:style>
  <w:style w:type="paragraph" w:styleId="Normal1" w:customStyle="1">
    <w:name w:val="Normal1"/>
    <w:basedOn w:val="Normal"/>
    <w:pPr>
      <w:spacing w:after="0" w:line="240" w:lineRule="auto"/>
    </w:pPr>
    <w:rPr>
      <w:rFonts w:ascii="Verdana" w:hAnsi="Verdana" w:eastAsia="Calibri" w:cs="Times New Roman"/>
      <w:sz w:val="20"/>
      <w:szCs w:val="20"/>
      <w:lang w:eastAsia="hr-HR"/>
    </w:rPr>
  </w:style>
  <w:style w:type="paragraph" w:styleId="t-9-8" w:customStyle="1">
    <w:name w:val="t-9-8"/>
    <w:basedOn w:val="Normal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  <w:lang w:eastAsia="hr-HR"/>
    </w:rPr>
  </w:style>
  <w:style w:type="paragraph" w:styleId="Sadraj1">
    <w:name w:val="TOC 1"/>
    <w:basedOn w:val="Normal"/>
    <w:next w:val="Normal"/>
    <w:uiPriority w:val="39"/>
    <w:qFormat/>
    <w:pPr>
      <w:tabs>
        <w:tab w:val="left" w:pos="480"/>
        <w:tab w:val="right" w:leader="dot" w:pos="9062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uiPriority w:val="39"/>
    <w:qFormat/>
    <w:pPr>
      <w:spacing w:after="0" w:line="240" w:lineRule="auto"/>
      <w:ind w:left="240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Sadraj3">
    <w:name w:val="TOC 3"/>
    <w:basedOn w:val="Normal"/>
    <w:next w:val="Normal"/>
    <w:uiPriority w:val="39"/>
    <w:qFormat/>
    <w:pPr>
      <w:spacing w:after="0" w:line="240" w:lineRule="auto"/>
      <w:ind w:left="480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OCNaslov" w:customStyle="1">
    <w:name w:val="TOC Heading"/>
    <w:basedOn w:val="Naslov1"/>
    <w:next w:val="Normal"/>
    <w:uiPriority w:val="39"/>
    <w:unhideWhenUsed/>
    <w:qFormat/>
    <w:pPr>
      <w:keepLines/>
      <w:overflowPunct w:val="true"/>
      <w:autoSpaceDE w:val="true"/>
      <w:autoSpaceDN w:val="true"/>
      <w:adjustRightInd w:val="true"/>
      <w:spacing w:before="480" w:line="276" w:lineRule="auto"/>
    </w:pPr>
    <w:rPr>
      <w:rFonts w:ascii="Cambria" w:hAnsi="Cambria"/>
      <w:bCs/>
      <w:color w:val="365F91"/>
      <w:kern w:val="0"/>
      <w:szCs w:val="28"/>
      <w:lang w:val="bs-Latn-BA" w:eastAsia="en-US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2" w:customStyle="1">
    <w:name w:val="Rešetka tablice2"/>
    <w:basedOn w:val="Obinatablica"/>
    <w:next w:val="Reetkatablic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</w:style>
  <w:style w:type="character" w:styleId="TekstfusnoteChar" w:customStyle="1">
    <w:name w:val="Tekst fusnote Char"/>
    <w:basedOn w:val="Zadanifontodlomka"/>
    <w:link w:val="FootnoteText"/>
    <w:uiPriority w:val="99"/>
    <w:semiHidden/>
    <w:rPr>
      <w:rFonts w:ascii="Times New Roman" w:hAnsi="Times New Roman" w:eastAsia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Revizija" w:customStyle="1">
    <w:name w:val="Revision"/>
    <w:uiPriority w:val="99"/>
    <w:semiHidden/>
    <w:pPr>
      <w:spacing w:after="0" w:line="240" w:lineRule="auto"/>
    </w:pPr>
    <w:rPr/>
  </w:style>
  <w:style w:type="paragraph" w:styleId="Bezproreda" w:customStyle="1">
    <w:name w:val="No Spacing"/>
    <w:link w:val="BezproredaChar"/>
    <w:uiPriority w:val="1"/>
    <w:qFormat/>
    <w:pPr>
      <w:spacing w:after="0" w:line="240" w:lineRule="auto"/>
    </w:pPr>
    <w:rPr/>
  </w:style>
  <w:style w:type="character" w:styleId="BezproredaChar" w:customStyle="1">
    <w:name w:val="Bez proreda Char"/>
    <w:basedOn w:val="Zadanifontodlomka"/>
    <w:link w:val="NoSpacing"/>
    <w:uiPriority w:val="1"/>
    <w:rPr/>
  </w:style>
  <w:style w:type="paragraph" w:styleId="paragraph" w:customStyle="1">
    <w:name w:val="paragraph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normaltextrun" w:customStyle="1">
    <w:name w:val="normaltextrun"/>
    <w:basedOn w:val="Zadanifontodlomka"/>
    <w:rPr/>
  </w:style>
  <w:style w:type="character" w:styleId="eop" w:customStyle="1">
    <w:name w:val="eop"/>
    <w:basedOn w:val="Zadanifontodlomka"/>
    <w:rPr/>
  </w:style>
  <w:style w:type="character" w:styleId="scxw268296569" w:customStyle="1">
    <w:name w:val="scxw268296569"/>
    <w:basedOn w:val="Zadanifontodlomka"/>
    <w:rPr/>
  </w:style>
  <w:style w:type="character" w:styleId="tabchar" w:customStyle="1">
    <w:name w:val="tabchar"/>
    <w:basedOn w:val="Zadanifontodlomka"/>
    <w:rPr/>
  </w:style>
  <w:style w:type="table" w:styleId="Reetkatablice3" w:customStyle="1">
    <w:name w:val="Rešetka tablice3"/>
    <w:basedOn w:val="Obinatablica"/>
    <w:next w:val="Reetkatablice"/>
    <w:uiPriority w:val="99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4" w:customStyle="1">
    <w:name w:val="Rešetka tablice4"/>
    <w:basedOn w:val="Obinatablica"/>
    <w:next w:val="Reetkatablice"/>
    <w:uiPriority w:val="99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5" w:customStyle="1">
    <w:name w:val="Rešetka tablice5"/>
    <w:basedOn w:val="Obinatablica"/>
    <w:next w:val="Reetkatablice"/>
    <w:uiPriority w:val="99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14" w:customStyle="1">
    <w:name w:val="Rešetka tablice14"/>
    <w:basedOn w:val="Obinatablica"/>
    <w:next w:val="Reetkatablic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113" w:customStyle="1">
    <w:name w:val="Rešetka tablice113"/>
    <w:basedOn w:val="Obinatablica"/>
    <w:next w:val="Reetkatablic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2" Type="http://schemas.openxmlformats.org/officeDocument/2006/relationships/footer" Target="footer2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8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153C8-B0A2-4BA9-95BF-B2C5B125265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298</TotalTime>
  <Pages>1</Pages>
  <Words>8646</Words>
  <Characters>49286</Characters>
  <Application>Microsoft Office Word</Application>
  <DocSecurity>0</DocSecurity>
  <Lines>410</Lines>
  <Paragraphs>115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lastPrinted>2026-10-14T10:32:00Z</cp:lastPrinted>
  <cp:revision>197</cp:revision>
  <dcterms:created xsi:type="dcterms:W3CDTF">2025-10-04T13:46:00Z</dcterms:created>
  <dcterms:modified xsi:type="dcterms:W3CDTF">2026-10-14T10:33:00Z</dcterms:modified>
</cp:coreProperties>
</file>