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5fe7b17684db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19079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SREDNJA ŠKOLA OTOČAC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1.030.961,03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1.057.879,49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1.162.359,61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1.045.318,85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12.560,64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10.198,00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8.668,53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9.188,00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8.668,53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94,3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3.892,11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poslovanja su u odnosu na izvještajno razdoblje prethodne godine porasli za 2,6 % zbog porasta osnovice za obračun plaća i zbog ostvarenih većih vlastitih prihoda. Rashodi poslovanja su manji nego u istom izvještajnom razdoblju prethodne godine za 10,10 %. Ostvarenje je manje zbog manjih rashoda za plaće, obzirom da je prethodne godine u izvještajnom razdoblju bilo knjiženo sedam rashoda za plaće jer se je knjižila i plaća za 12 mjesec, dok u ovom izvještajnom razdoblju imamo šest rashoda za isto jer se više rashod za plaću za mjesec prosinac ne knjiži kao rashod u idućoj godini. Smanjenje rashoda je nastalo i zbog toga što u ovoj godini nemamo rashoda za prijevoz učenika. Temeljem ostvarenih prihoda i rashoda ostvaren je višak prihoda u iznosu od 12.560,64 eura. U ovom izvještajnom razdoblju ostvareni su manji rashodi za nabavu nefinancijske imovine u odnosu na prethodnu godinu. Ostvareni su manji za 15,00 % zbog toga što financijska situacija nije dozvoljavala veće nabave, pa se pristupilo nabavi samo neophodne opreme.  Na kraju je ostvaren višak prihoda i primitaka u iznosu od 3.892,11 eura. Ostvareni višak će biti utrošen za namjene za koje je namijenjen.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46.450,80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74.929,17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161,3</w:t>
            </w:r>
          </w:p>
        </w:tc>
      </w:tr>
    </w:tbl>
    <w:p>
      <w:pPr>
        <w:spacing w:before="0" w:after="0"/>
      </w:pPr>
    </w:p>
    <w:p>
      <w:r>
        <w:t xml:space="preserve">Vlastiti prihodi su ostvareni veći za 61,3 % u odnosu na izvještajno razdoblje prethodne godine, zbog korigiranja cijena usluga sa tržištem i zbog većeg broja polaznika pri obrazovanju odraslih.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142.288,70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97.505,99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68,5</w:t>
            </w:r>
          </w:p>
        </w:tc>
      </w:tr>
    </w:tbl>
    <w:p>
      <w:pPr>
        <w:spacing w:before="0" w:after="0"/>
      </w:pPr>
    </w:p>
    <w:p>
      <w:r>
        <w:t xml:space="preserve">Prihodi iz nadležnog proračuna su ostvareni manji zbog toga što u ovom izvještajnom razdoblju nema ostvarenih prihoda za prijevoz učenika.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1.793,65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3.220,22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179,5</w:t>
            </w:r>
          </w:p>
        </w:tc>
      </w:tr>
    </w:tbl>
    <w:p>
      <w:pPr>
        <w:spacing w:before="0" w:after="0"/>
      </w:pPr>
    </w:p>
    <w:p>
      <w:r>
        <w:t xml:space="preserve">Ova stavka je ostvarena veća u ovom izvještajnom razdoblju zbog ostvarenih rashoda za prijevoz učenika na natjecanja, zatim sudjelovanje na Domijadi te izlet u sklopu provođenja projekta.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2.337,50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5.963,51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255,1</w:t>
            </w:r>
          </w:p>
        </w:tc>
      </w:tr>
    </w:tbl>
    <w:p>
      <w:pPr>
        <w:spacing w:before="0" w:after="0"/>
      </w:pPr>
    </w:p>
    <w:p>
      <w:r>
        <w:t xml:space="preserve">Rashodi za usluge tekućeg i investicijskog održavanja su ostvareni za 155,10 % veći zbog izvršenih usluga tekućeg i investicijskog održavanja koje su bile potrebne zbog nesmetanog odvijanja redovne djelatnosti i zbog zakonskih propisa koji ih nalažu.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1.974,25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456,4</w:t>
            </w:r>
          </w:p>
        </w:tc>
      </w:tr>
    </w:tbl>
    <w:p>
      <w:pPr>
        <w:spacing w:before="0" w:after="0"/>
      </w:pPr>
    </w:p>
    <w:p>
      <w:r>
        <w:t xml:space="preserve">Troškovi reprezentacije su ostvareni veći nego prethodne godine u istom izvještajnom razdoblju zbog troškova reprezentacije koji su nastali tijekom provođenja aktivnosti ERASMUS+ projekta.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113.591,44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86.411,48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76,1</w:t>
            </w:r>
          </w:p>
        </w:tc>
      </w:tr>
    </w:tbl>
    <w:p>
      <w:pPr>
        <w:spacing w:before="0" w:after="0"/>
      </w:pPr>
    </w:p>
    <w:p>
      <w:r>
        <w:t xml:space="preserve">Na kraju ovog izvještajnog razdoblja ostvaren je manjak prihoda i primitaka za pokriće u sljedećem izvještajnom razdoblju u iznosu od 86.411,48 eura. Nastao je zbog knjiženja rashoda za plaću i materijalna prava za 6/26. a prihodi za njih će biti doznačeni u 7/26. Manjak u ovom izvještajnom razdoblju je ostvaren manji nego prethodne godine zbog ostvarenja većeg viška prihoda i primitaka iz vlastitih prihoda.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4.656,09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u iznosu od 4.656,09 eura se odnose na neplaćene račune za materijalne rashode a isti će biti podmireni u 7/26.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EU izvještaju iz izvora 510 programi Unije su u odnosu na izvještajno razdoblje prethodne godine ostvareni rashodi u iznosu od 4.857,42 eura koji su nastali tijekom provođenja aktivnosti u svrhu provedbe projekta FUTURE FM. Nastankom navedenih rashoda povećane su i stavke potraživanja i tekućih pomoći za taj iznos.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71b91e62074ef4" /></Relationships>
</file>